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6E524" w14:textId="23ECD4C5" w:rsidR="00326DB9" w:rsidRPr="00D26463" w:rsidRDefault="00D26463" w:rsidP="00D26463">
      <w:pPr>
        <w:pBdr>
          <w:top w:val="single" w:sz="4" w:space="1" w:color="auto"/>
          <w:left w:val="single" w:sz="4" w:space="4" w:color="auto"/>
          <w:bottom w:val="single" w:sz="4" w:space="1" w:color="auto"/>
          <w:right w:val="single" w:sz="4" w:space="4" w:color="auto"/>
        </w:pBdr>
        <w:bidi/>
        <w:spacing w:after="0" w:line="240" w:lineRule="auto"/>
        <w:jc w:val="lowKashida"/>
        <w:rPr>
          <w:rFonts w:ascii="Garamond" w:eastAsia="Times New Roman" w:hAnsi="Garamond" w:cs="Times New Roman"/>
          <w:bCs/>
          <w:kern w:val="0"/>
          <w:sz w:val="20"/>
          <w:szCs w:val="20"/>
          <w14:ligatures w14:val="none"/>
        </w:rPr>
      </w:pPr>
      <w:r>
        <w:rPr>
          <w:rFonts w:ascii="Garamond" w:eastAsia="Times New Roman" w:hAnsi="Garamond" w:cs="Times New Roman"/>
          <w:bCs/>
          <w:kern w:val="0"/>
          <w:sz w:val="20"/>
          <w:szCs w:val="20"/>
          <w:rtl/>
          <w14:ligatures w14:val="none"/>
        </w:rPr>
        <w:tab/>
      </w:r>
      <w:r w:rsidRPr="00D26463">
        <w:rPr>
          <w:rFonts w:ascii="Garamond" w:eastAsia="Times New Roman" w:hAnsi="Garamond" w:cs="Times New Roman"/>
          <w:bCs/>
          <w:kern w:val="0"/>
          <w:sz w:val="20"/>
          <w:szCs w:val="20"/>
          <w14:ligatures w14:val="none"/>
        </w:rPr>
        <w:t>Published: 23.10.202</w:t>
      </w:r>
      <w:r w:rsidR="0058323A">
        <w:rPr>
          <w:rFonts w:ascii="Garamond" w:eastAsia="Times New Roman" w:hAnsi="Garamond" w:cs="Times New Roman"/>
          <w:bCs/>
          <w:kern w:val="0"/>
          <w:sz w:val="20"/>
          <w:szCs w:val="20"/>
          <w14:ligatures w14:val="none"/>
        </w:rPr>
        <w:t>6</w:t>
      </w:r>
      <w:r>
        <w:rPr>
          <w:rFonts w:ascii="Garamond" w:eastAsia="Times New Roman" w:hAnsi="Garamond" w:cs="Times New Roman"/>
          <w:bCs/>
          <w:kern w:val="0"/>
          <w:sz w:val="20"/>
          <w:szCs w:val="20"/>
          <w:rtl/>
          <w14:ligatures w14:val="none"/>
        </w:rPr>
        <w:tab/>
      </w:r>
      <w:r>
        <w:rPr>
          <w:rFonts w:ascii="Garamond" w:eastAsia="Times New Roman" w:hAnsi="Garamond" w:cs="Times New Roman"/>
          <w:bCs/>
          <w:kern w:val="0"/>
          <w:sz w:val="20"/>
          <w:szCs w:val="20"/>
          <w:rtl/>
          <w14:ligatures w14:val="none"/>
        </w:rPr>
        <w:tab/>
      </w:r>
      <w:r w:rsidRPr="00D26463">
        <w:rPr>
          <w:rFonts w:ascii="Garamond" w:eastAsia="Times New Roman" w:hAnsi="Garamond" w:cs="Times New Roman" w:hint="cs"/>
          <w:bCs/>
          <w:color w:val="000000" w:themeColor="text1"/>
          <w:kern w:val="0"/>
          <w:sz w:val="20"/>
          <w:szCs w:val="20"/>
          <w:rtl/>
          <w14:ligatures w14:val="none"/>
        </w:rPr>
        <w:t>Accepted: 22.10.2026</w:t>
      </w:r>
      <w:r>
        <w:rPr>
          <w:rFonts w:ascii="Garamond" w:eastAsia="Times New Roman" w:hAnsi="Garamond" w:cs="Times New Roman" w:hint="cs"/>
          <w:bCs/>
          <w:kern w:val="0"/>
          <w:sz w:val="20"/>
          <w:szCs w:val="20"/>
          <w:rtl/>
          <w14:ligatures w14:val="none"/>
        </w:rPr>
        <w:tab/>
      </w:r>
      <w:r>
        <w:rPr>
          <w:rFonts w:ascii="Garamond" w:eastAsia="Times New Roman" w:hAnsi="Garamond" w:cs="Times New Roman" w:hint="cs"/>
          <w:bCs/>
          <w:kern w:val="0"/>
          <w:sz w:val="20"/>
          <w:szCs w:val="20"/>
          <w:rtl/>
          <w14:ligatures w14:val="none"/>
        </w:rPr>
        <w:tab/>
      </w:r>
      <w:r>
        <w:rPr>
          <w:rFonts w:ascii="Garamond" w:eastAsia="Times New Roman" w:hAnsi="Garamond" w:cs="Times New Roman" w:hint="cs"/>
          <w:bCs/>
          <w:kern w:val="0"/>
          <w:sz w:val="20"/>
          <w:szCs w:val="20"/>
          <w:rtl/>
          <w14:ligatures w14:val="none"/>
        </w:rPr>
        <w:tab/>
      </w:r>
      <w:r w:rsidRPr="00D26463">
        <w:rPr>
          <w:rFonts w:ascii="Garamond" w:eastAsia="Times New Roman" w:hAnsi="Garamond" w:cs="Times New Roman"/>
          <w:bCs/>
          <w:kern w:val="0"/>
          <w:sz w:val="20"/>
          <w:szCs w:val="20"/>
          <w14:ligatures w14:val="none"/>
        </w:rPr>
        <w:t xml:space="preserve">Received: 9.9.2026   </w:t>
      </w:r>
      <w:r>
        <w:rPr>
          <w:rFonts w:ascii="Garamond" w:eastAsia="Times New Roman" w:hAnsi="Garamond" w:cs="Times New Roman"/>
          <w:bCs/>
          <w:kern w:val="0"/>
          <w:sz w:val="20"/>
          <w:szCs w:val="20"/>
          <w:rtl/>
          <w14:ligatures w14:val="none"/>
        </w:rPr>
        <w:tab/>
      </w:r>
      <w:r>
        <w:rPr>
          <w:rFonts w:ascii="Garamond" w:eastAsia="Times New Roman" w:hAnsi="Garamond" w:cs="Times New Roman" w:hint="cs"/>
          <w:bCs/>
          <w:kern w:val="0"/>
          <w:sz w:val="20"/>
          <w:szCs w:val="20"/>
          <w:rtl/>
          <w14:ligatures w14:val="none"/>
        </w:rPr>
        <w:t xml:space="preserve">   </w:t>
      </w:r>
    </w:p>
    <w:p w14:paraId="455198AA" w14:textId="77777777" w:rsidR="002F6CA6" w:rsidRDefault="002F6CA6" w:rsidP="00D132F3">
      <w:pPr>
        <w:bidi/>
        <w:spacing w:after="0" w:line="240" w:lineRule="auto"/>
        <w:jc w:val="center"/>
        <w:rPr>
          <w:rFonts w:ascii="Traditional Arabic" w:eastAsia="Times New Roman" w:hAnsi="Traditional Arabic" w:cs="Traditional Arabic"/>
          <w:b/>
          <w:bCs/>
          <w:kern w:val="0"/>
          <w:sz w:val="40"/>
          <w:szCs w:val="40"/>
          <w:rtl/>
          <w14:ligatures w14:val="none"/>
        </w:rPr>
      </w:pPr>
    </w:p>
    <w:p w14:paraId="68116041" w14:textId="6166F1A8" w:rsidR="004E3409" w:rsidRDefault="00326DB9" w:rsidP="002F6CA6">
      <w:pPr>
        <w:bidi/>
        <w:spacing w:after="0" w:line="240" w:lineRule="auto"/>
        <w:jc w:val="center"/>
        <w:rPr>
          <w:rFonts w:ascii="Traditional Arabic" w:eastAsia="Times New Roman" w:hAnsi="Traditional Arabic" w:cs="Traditional Arabic"/>
          <w:b/>
          <w:bCs/>
          <w:kern w:val="0"/>
          <w:sz w:val="40"/>
          <w:szCs w:val="40"/>
          <w:rtl/>
          <w14:ligatures w14:val="none"/>
        </w:rPr>
      </w:pPr>
      <w:r w:rsidRPr="00885D84">
        <w:rPr>
          <w:rFonts w:ascii="Traditional Arabic" w:eastAsia="Times New Roman" w:hAnsi="Traditional Arabic" w:cs="Traditional Arabic"/>
          <w:b/>
          <w:bCs/>
          <w:kern w:val="0"/>
          <w:sz w:val="40"/>
          <w:szCs w:val="40"/>
          <w:rtl/>
          <w14:ligatures w14:val="none"/>
        </w:rPr>
        <w:t xml:space="preserve">التحول الرقمي </w:t>
      </w:r>
      <w:bookmarkStart w:id="0" w:name="_Hlk209127585"/>
      <w:r w:rsidRPr="00885D84">
        <w:rPr>
          <w:rFonts w:ascii="Traditional Arabic" w:eastAsia="Times New Roman" w:hAnsi="Traditional Arabic" w:cs="Traditional Arabic"/>
          <w:b/>
          <w:bCs/>
          <w:kern w:val="0"/>
          <w:sz w:val="40"/>
          <w:szCs w:val="40"/>
          <w:rtl/>
          <w14:ligatures w14:val="none"/>
        </w:rPr>
        <w:t>لنظم المعلومات المحاسبي</w:t>
      </w:r>
      <w:bookmarkEnd w:id="0"/>
      <w:r w:rsidRPr="00885D84">
        <w:rPr>
          <w:rFonts w:ascii="Traditional Arabic" w:eastAsia="Times New Roman" w:hAnsi="Traditional Arabic" w:cs="Traditional Arabic"/>
          <w:b/>
          <w:bCs/>
          <w:kern w:val="0"/>
          <w:sz w:val="40"/>
          <w:szCs w:val="40"/>
          <w:rtl/>
          <w14:ligatures w14:val="none"/>
        </w:rPr>
        <w:t xml:space="preserve">ة وأثره في تعزيز كفاءة إدارة </w:t>
      </w:r>
      <w:bookmarkStart w:id="1" w:name="_Hlk209127632"/>
      <w:r w:rsidRPr="00885D84">
        <w:rPr>
          <w:rFonts w:ascii="Traditional Arabic" w:eastAsia="Times New Roman" w:hAnsi="Traditional Arabic" w:cs="Traditional Arabic"/>
          <w:b/>
          <w:bCs/>
          <w:kern w:val="0"/>
          <w:sz w:val="40"/>
          <w:szCs w:val="40"/>
          <w:rtl/>
          <w14:ligatures w14:val="none"/>
        </w:rPr>
        <w:t xml:space="preserve">المخاطر الائتمانية </w:t>
      </w:r>
      <w:bookmarkEnd w:id="1"/>
      <w:r w:rsidRPr="00885D84">
        <w:rPr>
          <w:rFonts w:ascii="Traditional Arabic" w:eastAsia="Times New Roman" w:hAnsi="Traditional Arabic" w:cs="Traditional Arabic"/>
          <w:b/>
          <w:bCs/>
          <w:kern w:val="0"/>
          <w:sz w:val="40"/>
          <w:szCs w:val="40"/>
          <w:rtl/>
          <w14:ligatures w14:val="none"/>
        </w:rPr>
        <w:t>بالبنوك الإسلامية الكويتية</w:t>
      </w:r>
      <w:r>
        <w:rPr>
          <w:rFonts w:ascii="Traditional Arabic" w:eastAsia="Times New Roman" w:hAnsi="Traditional Arabic" w:cs="Traditional Arabic" w:hint="cs"/>
          <w:b/>
          <w:bCs/>
          <w:kern w:val="0"/>
          <w:sz w:val="40"/>
          <w:szCs w:val="40"/>
          <w:rtl/>
          <w14:ligatures w14:val="none"/>
        </w:rPr>
        <w:t xml:space="preserve"> (دراسة وصفية تحليلية)</w:t>
      </w:r>
    </w:p>
    <w:p w14:paraId="7AFE783C" w14:textId="77777777" w:rsidR="004E3409" w:rsidRPr="004E3409" w:rsidRDefault="004E3409" w:rsidP="00D132F3">
      <w:pPr>
        <w:spacing w:after="0" w:line="240" w:lineRule="auto"/>
        <w:jc w:val="center"/>
        <w:rPr>
          <w:rFonts w:asciiTheme="majorBidi" w:hAnsiTheme="majorBidi" w:cstheme="majorBidi"/>
          <w:b/>
          <w:bCs/>
          <w:rtl/>
        </w:rPr>
      </w:pPr>
    </w:p>
    <w:p w14:paraId="0F5788D1" w14:textId="61979790" w:rsidR="00326DB9" w:rsidRPr="00462E36" w:rsidRDefault="00462E36" w:rsidP="00D132F3">
      <w:pPr>
        <w:bidi/>
        <w:spacing w:after="0" w:line="240" w:lineRule="auto"/>
        <w:jc w:val="center"/>
        <w:rPr>
          <w:rFonts w:ascii="Garamond" w:hAnsi="Garamond" w:cstheme="majorBidi"/>
          <w:b/>
          <w:bCs/>
          <w:i/>
          <w:iCs/>
          <w:rtl/>
        </w:rPr>
      </w:pPr>
      <w:r w:rsidRPr="00462E36">
        <w:rPr>
          <w:rFonts w:ascii="Garamond" w:hAnsi="Garamond" w:cstheme="majorBidi"/>
          <w:b/>
          <w:bCs/>
          <w:i/>
          <w:iCs/>
          <w:sz w:val="28"/>
          <w:szCs w:val="28"/>
        </w:rPr>
        <w:t>DIGITAL TRANSFORMATION OF ACCOUNTING INFORMATION SYSTEMS AND ITS IMPACT ON ENHANCING THE EFFICIENCY OF CREDIT RISK MANAGEMENT IN KUWAITI ISLAMIC BANKS (A DESCRIPTIVE ANALYTICAL STUDY</w:t>
      </w:r>
      <w:r w:rsidRPr="00462E36">
        <w:rPr>
          <w:rFonts w:ascii="Garamond" w:hAnsi="Garamond" w:cstheme="majorBidi"/>
          <w:b/>
          <w:bCs/>
          <w:i/>
          <w:iCs/>
        </w:rPr>
        <w:t>)</w:t>
      </w:r>
    </w:p>
    <w:p w14:paraId="2C286682" w14:textId="77777777" w:rsidR="004E3409" w:rsidRPr="00462E36" w:rsidRDefault="004E3409" w:rsidP="00D132F3">
      <w:pPr>
        <w:bidi/>
        <w:spacing w:after="0" w:line="240" w:lineRule="auto"/>
        <w:jc w:val="center"/>
        <w:rPr>
          <w:rFonts w:ascii="Garamond" w:hAnsi="Garamond" w:cstheme="majorBidi"/>
          <w:b/>
          <w:bCs/>
          <w:rtl/>
        </w:rPr>
      </w:pPr>
    </w:p>
    <w:p w14:paraId="24F165FD" w14:textId="1375417E" w:rsidR="00326DB9" w:rsidRPr="00462E36" w:rsidRDefault="00462E36" w:rsidP="00D132F3">
      <w:pPr>
        <w:bidi/>
        <w:spacing w:after="0" w:line="240" w:lineRule="auto"/>
        <w:jc w:val="center"/>
        <w:rPr>
          <w:rFonts w:ascii="Garamond" w:hAnsi="Garamond" w:cstheme="majorBidi"/>
        </w:rPr>
      </w:pPr>
      <w:r w:rsidRPr="00462E36">
        <w:rPr>
          <w:rFonts w:ascii="Garamond" w:hAnsi="Garamond" w:cstheme="majorBidi"/>
        </w:rPr>
        <w:t>Ali M S M Sh Al-Mutairi</w:t>
      </w:r>
      <w:r>
        <w:rPr>
          <w:rFonts w:ascii="Garamond" w:hAnsi="Garamond" w:cstheme="majorBidi"/>
        </w:rPr>
        <w:t xml:space="preserve"> (PhD)</w:t>
      </w:r>
    </w:p>
    <w:p w14:paraId="3D0E0860" w14:textId="22B8FE15" w:rsidR="00462E36" w:rsidRPr="00462E36" w:rsidRDefault="00AA7C57" w:rsidP="00D132F3">
      <w:pPr>
        <w:pStyle w:val="NormalWeb"/>
        <w:spacing w:before="0" w:beforeAutospacing="0" w:after="0" w:afterAutospacing="0"/>
        <w:jc w:val="center"/>
        <w:rPr>
          <w:rStyle w:val="Strong"/>
          <w:rFonts w:ascii="Garamond" w:hAnsi="Garamond"/>
          <w:b w:val="0"/>
          <w:bCs w:val="0"/>
        </w:rPr>
      </w:pPr>
      <w:r w:rsidRPr="00462E36">
        <w:rPr>
          <w:rStyle w:val="Strong"/>
          <w:rFonts w:ascii="Garamond" w:hAnsi="Garamond"/>
          <w:b w:val="0"/>
          <w:bCs w:val="0"/>
        </w:rPr>
        <w:t xml:space="preserve"> Academy of Islamic Studies, Universiti Malaya, Malaysia.</w:t>
      </w:r>
    </w:p>
    <w:p w14:paraId="5BE26FCD" w14:textId="6F9F129D" w:rsidR="00AA7C57" w:rsidRDefault="00AA7C57" w:rsidP="00D132F3">
      <w:pPr>
        <w:pStyle w:val="NormalWeb"/>
        <w:spacing w:before="0" w:beforeAutospacing="0" w:after="0" w:afterAutospacing="0"/>
        <w:jc w:val="center"/>
        <w:rPr>
          <w:rFonts w:ascii="Garamond" w:hAnsi="Garamond"/>
        </w:rPr>
      </w:pPr>
      <w:r w:rsidRPr="00462E36">
        <w:rPr>
          <w:rStyle w:val="Strong"/>
          <w:rFonts w:ascii="Garamond" w:hAnsi="Garamond"/>
          <w:b w:val="0"/>
          <w:bCs w:val="0"/>
          <w:rtl/>
        </w:rPr>
        <w:t xml:space="preserve">   </w:t>
      </w:r>
      <w:hyperlink r:id="rId8" w:history="1">
        <w:r w:rsidRPr="00462E36">
          <w:rPr>
            <w:rStyle w:val="Hyperlink"/>
            <w:rFonts w:ascii="Garamond" w:hAnsi="Garamond"/>
          </w:rPr>
          <w:t>Dr.alisharar@hotmail.com</w:t>
        </w:r>
      </w:hyperlink>
      <w:r w:rsidRPr="00462E36">
        <w:rPr>
          <w:rFonts w:ascii="Garamond" w:hAnsi="Garamond"/>
        </w:rPr>
        <w:t>.</w:t>
      </w:r>
    </w:p>
    <w:p w14:paraId="449A1163" w14:textId="10CD4417" w:rsidR="005D5609" w:rsidRDefault="005D5609" w:rsidP="00D132F3">
      <w:pPr>
        <w:pStyle w:val="NormalWeb"/>
        <w:spacing w:before="0" w:beforeAutospacing="0" w:after="0" w:afterAutospacing="0"/>
        <w:jc w:val="center"/>
        <w:rPr>
          <w:rFonts w:ascii="Garamond" w:hAnsi="Garamond"/>
        </w:rPr>
      </w:pPr>
    </w:p>
    <w:p w14:paraId="2DB9EB71" w14:textId="508A13A9" w:rsidR="005D5609" w:rsidRPr="00462E36" w:rsidRDefault="005D5609" w:rsidP="00D132F3">
      <w:pPr>
        <w:pStyle w:val="NormalWeb"/>
        <w:spacing w:before="0" w:beforeAutospacing="0" w:after="0" w:afterAutospacing="0"/>
        <w:jc w:val="center"/>
        <w:rPr>
          <w:rFonts w:ascii="Garamond" w:hAnsi="Garamond"/>
        </w:rPr>
      </w:pPr>
      <w:r>
        <w:rPr>
          <w:rFonts w:ascii="Garamond" w:hAnsi="Garamond"/>
        </w:rPr>
        <w:t>&amp;</w:t>
      </w:r>
    </w:p>
    <w:p w14:paraId="0A22AEEC" w14:textId="6F9D36F3" w:rsidR="00462E36" w:rsidRPr="00462E36" w:rsidRDefault="00462E36" w:rsidP="00D132F3">
      <w:pPr>
        <w:pStyle w:val="NormalWeb"/>
        <w:spacing w:before="0" w:beforeAutospacing="0" w:after="0" w:afterAutospacing="0"/>
        <w:jc w:val="center"/>
        <w:rPr>
          <w:rFonts w:ascii="Garamond" w:hAnsi="Garamond"/>
        </w:rPr>
      </w:pPr>
    </w:p>
    <w:p w14:paraId="7D51F059" w14:textId="4E2F75FD" w:rsidR="00462E36" w:rsidRPr="00462E36" w:rsidRDefault="00462E36" w:rsidP="00D132F3">
      <w:pPr>
        <w:pStyle w:val="NormalWeb"/>
        <w:spacing w:before="0" w:beforeAutospacing="0" w:after="0" w:afterAutospacing="0"/>
        <w:jc w:val="center"/>
        <w:rPr>
          <w:rFonts w:ascii="Garamond" w:hAnsi="Garamond"/>
        </w:rPr>
      </w:pPr>
      <w:r w:rsidRPr="00462E36">
        <w:rPr>
          <w:rFonts w:ascii="Garamond" w:hAnsi="Garamond"/>
        </w:rPr>
        <w:t>Ahmed Mohammed Ali Al-Rumaithah</w:t>
      </w:r>
      <w:r w:rsidR="005D5609">
        <w:rPr>
          <w:rFonts w:ascii="Garamond" w:hAnsi="Garamond"/>
        </w:rPr>
        <w:t>*</w:t>
      </w:r>
    </w:p>
    <w:p w14:paraId="18E803F6" w14:textId="7A998468" w:rsidR="00AA7C57" w:rsidRPr="00462E36" w:rsidRDefault="00462E36" w:rsidP="00D132F3">
      <w:pPr>
        <w:spacing w:after="0" w:line="240" w:lineRule="auto"/>
        <w:jc w:val="center"/>
        <w:rPr>
          <w:rFonts w:ascii="Garamond" w:hAnsi="Garamond" w:cstheme="majorBidi"/>
        </w:rPr>
      </w:pPr>
      <w:r w:rsidRPr="00462E36">
        <w:rPr>
          <w:rFonts w:ascii="Garamond" w:hAnsi="Garamond" w:cstheme="majorBidi"/>
        </w:rPr>
        <w:t>*</w:t>
      </w:r>
      <w:r w:rsidRPr="00462E36">
        <w:rPr>
          <w:rFonts w:ascii="Garamond" w:hAnsi="Garamond" w:cstheme="majorBidi"/>
          <w:i/>
          <w:iCs/>
        </w:rPr>
        <w:t>Corresponding Author</w:t>
      </w:r>
      <w:r>
        <w:rPr>
          <w:rFonts w:ascii="Garamond" w:hAnsi="Garamond" w:cstheme="majorBidi"/>
        </w:rPr>
        <w:t>, C</w:t>
      </w:r>
      <w:r w:rsidR="00AA7C57" w:rsidRPr="00462E36">
        <w:rPr>
          <w:rFonts w:ascii="Garamond" w:hAnsi="Garamond" w:cstheme="majorBidi"/>
        </w:rPr>
        <w:t>entre for Quran and Sunnah Studies, Faculty of Contemporary Islamic Studies,</w:t>
      </w:r>
      <w:r w:rsidR="00AA7C57" w:rsidRPr="00462E36">
        <w:rPr>
          <w:rFonts w:ascii="Garamond" w:hAnsi="Garamond" w:cstheme="majorBidi"/>
          <w:rtl/>
        </w:rPr>
        <w:t xml:space="preserve"> </w:t>
      </w:r>
      <w:r w:rsidR="00AA7C57" w:rsidRPr="00462E36">
        <w:rPr>
          <w:rFonts w:ascii="Garamond" w:hAnsi="Garamond" w:cstheme="majorBidi"/>
        </w:rPr>
        <w:t>Universiti Sultan Zainal Abidin, Gong Badak, Kuala Nerus, Terengganu.</w:t>
      </w:r>
    </w:p>
    <w:p w14:paraId="17ECAAD8" w14:textId="492E78F0" w:rsidR="00AA7C57" w:rsidRPr="00462E36" w:rsidRDefault="007055E3" w:rsidP="00D132F3">
      <w:pPr>
        <w:spacing w:after="0" w:line="240" w:lineRule="auto"/>
        <w:jc w:val="center"/>
        <w:rPr>
          <w:rFonts w:ascii="Garamond" w:eastAsia="Times New Roman" w:hAnsi="Garamond" w:cstheme="majorBidi"/>
          <w:u w:val="single"/>
          <w:rtl/>
        </w:rPr>
      </w:pPr>
      <w:hyperlink r:id="rId9" w:history="1">
        <w:r w:rsidR="00AA7C57" w:rsidRPr="00462E36">
          <w:rPr>
            <w:rStyle w:val="Hyperlink"/>
            <w:rFonts w:ascii="Garamond" w:eastAsia="Times New Roman" w:hAnsi="Garamond" w:cstheme="majorBidi"/>
          </w:rPr>
          <w:t>a.alrumaithah@gmail.com</w:t>
        </w:r>
      </w:hyperlink>
    </w:p>
    <w:p w14:paraId="6D62D5F7" w14:textId="77777777" w:rsidR="00326DB9" w:rsidRPr="00462E36" w:rsidRDefault="00326DB9" w:rsidP="00D132F3">
      <w:pPr>
        <w:spacing w:after="0" w:line="240" w:lineRule="auto"/>
        <w:jc w:val="lowKashida"/>
        <w:rPr>
          <w:rFonts w:ascii="Garamond" w:eastAsia="Times New Roman" w:hAnsi="Garamond" w:cstheme="majorBidi"/>
        </w:rPr>
      </w:pPr>
    </w:p>
    <w:p w14:paraId="1D397692" w14:textId="77777777" w:rsidR="00326DB9" w:rsidRDefault="00326DB9" w:rsidP="00D132F3">
      <w:pPr>
        <w:bidi/>
        <w:spacing w:after="0" w:line="240" w:lineRule="auto"/>
        <w:jc w:val="lowKashida"/>
        <w:rPr>
          <w:rFonts w:ascii="Traditional Arabic" w:hAnsi="Traditional Arabic" w:cs="Traditional Arabic"/>
          <w:sz w:val="32"/>
          <w:szCs w:val="32"/>
          <w:rtl/>
        </w:rPr>
      </w:pPr>
    </w:p>
    <w:p w14:paraId="40867DD4" w14:textId="77777777" w:rsidR="00326DB9" w:rsidRPr="00E40A53" w:rsidRDefault="00326DB9" w:rsidP="00D132F3">
      <w:pPr>
        <w:bidi/>
        <w:spacing w:after="0" w:line="240" w:lineRule="auto"/>
        <w:jc w:val="lowKashida"/>
        <w:rPr>
          <w:rFonts w:ascii="Traditional Arabic" w:hAnsi="Traditional Arabic" w:cs="Traditional Arabic"/>
          <w:b/>
          <w:bCs/>
          <w:sz w:val="32"/>
          <w:szCs w:val="32"/>
        </w:rPr>
      </w:pPr>
      <w:r w:rsidRPr="00C82D47">
        <w:rPr>
          <w:rFonts w:ascii="Traditional Arabic" w:hAnsi="Traditional Arabic" w:cs="Traditional Arabic" w:hint="cs"/>
          <w:b/>
          <w:bCs/>
          <w:sz w:val="32"/>
          <w:szCs w:val="32"/>
          <w:rtl/>
        </w:rPr>
        <w:t>الملخص:</w:t>
      </w:r>
      <w:r>
        <w:rPr>
          <w:rFonts w:ascii="Traditional Arabic" w:hAnsi="Traditional Arabic" w:cs="Traditional Arabic" w:hint="cs"/>
          <w:b/>
          <w:bCs/>
          <w:sz w:val="32"/>
          <w:szCs w:val="32"/>
          <w:rtl/>
        </w:rPr>
        <w:t xml:space="preserve"> </w:t>
      </w:r>
      <w:r w:rsidRPr="00C82D47">
        <w:rPr>
          <w:rFonts w:ascii="Traditional Arabic" w:hAnsi="Traditional Arabic" w:cs="Traditional Arabic"/>
          <w:sz w:val="32"/>
          <w:szCs w:val="32"/>
          <w:rtl/>
        </w:rPr>
        <w:t>هدفت هذه الدراسة إلى استقصاء أثر التحول الرقمي لنظم المعلومات المحاسبية في تعزيز كفاءة ودقة قياس وإدارة المخاطر الائتمانية، وانعكاس ذلك على جودة اتخاذ القرارات في البنوك الإسلامية الكويتية. وتأتي هذه الدراسة لسد الفجوة البحثية المتعلقة بكيفية مواءمة التقنيات الرقمية مع السياق الفريد للصيرفة الإسلامية وضوابطها الشرعية</w:t>
      </w:r>
      <w:r w:rsidRPr="00C82D47">
        <w:rPr>
          <w:rFonts w:ascii="Traditional Arabic" w:hAnsi="Traditional Arabic" w:cs="Traditional Arabic"/>
          <w:sz w:val="32"/>
          <w:szCs w:val="32"/>
        </w:rPr>
        <w:t>.</w:t>
      </w:r>
      <w:r>
        <w:rPr>
          <w:rFonts w:ascii="Traditional Arabic" w:hAnsi="Traditional Arabic" w:cs="Traditional Arabic" w:hint="cs"/>
          <w:sz w:val="32"/>
          <w:szCs w:val="32"/>
          <w:rtl/>
        </w:rPr>
        <w:t xml:space="preserve"> </w:t>
      </w:r>
      <w:r w:rsidRPr="00C82D47">
        <w:rPr>
          <w:rFonts w:ascii="Traditional Arabic" w:hAnsi="Traditional Arabic" w:cs="Traditional Arabic"/>
          <w:sz w:val="32"/>
          <w:szCs w:val="32"/>
        </w:rPr>
        <w:t xml:space="preserve"> </w:t>
      </w:r>
      <w:r w:rsidRPr="00C82D47">
        <w:rPr>
          <w:rFonts w:ascii="Traditional Arabic" w:hAnsi="Traditional Arabic" w:cs="Traditional Arabic"/>
          <w:sz w:val="32"/>
          <w:szCs w:val="32"/>
          <w:rtl/>
        </w:rPr>
        <w:t>اعتمد البحث على المنهج الوصفي التحليلي، حيث تم جمع البيانات من خلال استبانة إلكترونية وُزعت على عينة قصدية مكونة من (80) مشاركاً من المحاسبين والمدققين والمسؤولين التقنيين في القطاع المصرفي الإسلامي الكويتي. تم استخدام مقياس ليكرت الخماسي واختبارات الإحصاء الاستدلالي لتحليل النتائج</w:t>
      </w:r>
      <w:r w:rsidRPr="00C82D47">
        <w:rPr>
          <w:rFonts w:ascii="Traditional Arabic" w:hAnsi="Traditional Arabic" w:cs="Traditional Arabic"/>
          <w:sz w:val="32"/>
          <w:szCs w:val="32"/>
        </w:rPr>
        <w:t>.</w:t>
      </w:r>
      <w:r>
        <w:rPr>
          <w:rFonts w:ascii="Traditional Arabic" w:hAnsi="Traditional Arabic" w:cs="Traditional Arabic" w:hint="cs"/>
          <w:sz w:val="32"/>
          <w:szCs w:val="32"/>
          <w:rtl/>
        </w:rPr>
        <w:t xml:space="preserve"> </w:t>
      </w:r>
      <w:r>
        <w:rPr>
          <w:rFonts w:ascii="Traditional Arabic" w:hAnsi="Traditional Arabic" w:cs="Traditional Arabic" w:hint="cs"/>
          <w:b/>
          <w:bCs/>
          <w:sz w:val="32"/>
          <w:szCs w:val="32"/>
          <w:rtl/>
        </w:rPr>
        <w:t>و</w:t>
      </w:r>
      <w:r w:rsidRPr="00C82D47">
        <w:rPr>
          <w:rFonts w:ascii="Traditional Arabic" w:hAnsi="Traditional Arabic" w:cs="Traditional Arabic"/>
          <w:sz w:val="32"/>
          <w:szCs w:val="32"/>
          <w:rtl/>
        </w:rPr>
        <w:t>توصلت الدراسة إلى أن مستوى التحول الرقمي في البنوك محل الدراسة جاء بدرجة "مرتفعة"، حيث تصدر "الامتثال الشرعي الرقمي" المرتبة الأولى كأهم دافع استراتيجي للرقمنة. وأظهرت النتائج أثراً إيجابياً دالاً إحصائياً لاستخدام التقنيات المتقدمة (كالذكاء الاصطناعي وتحليل البيانات الضخمة) في تحسين جودة البيانات الائتمانية وتوفيرها في الوقت المناسب، مما أدى إلى رفع دقة نماذج قياس المخاطر وتقليل احتمالات التعثر المالي. ومع ذلك، كشفت النتائج عن تحديات جوهرية تتعلق بالأمن السيبراني والحاجة لتحديث الأطر التشريعية المنظمة للعمل الرقمي</w:t>
      </w:r>
      <w:r w:rsidRPr="00C82D47">
        <w:rPr>
          <w:rFonts w:ascii="Traditional Arabic" w:hAnsi="Traditional Arabic" w:cs="Traditional Arabic"/>
          <w:sz w:val="32"/>
          <w:szCs w:val="32"/>
        </w:rPr>
        <w:t>.</w:t>
      </w:r>
      <w:r>
        <w:rPr>
          <w:rFonts w:ascii="Traditional Arabic" w:hAnsi="Traditional Arabic" w:cs="Traditional Arabic" w:hint="cs"/>
          <w:sz w:val="32"/>
          <w:szCs w:val="32"/>
          <w:rtl/>
        </w:rPr>
        <w:t xml:space="preserve"> و</w:t>
      </w:r>
      <w:r w:rsidRPr="00C82D47">
        <w:rPr>
          <w:rFonts w:ascii="Traditional Arabic" w:hAnsi="Traditional Arabic" w:cs="Traditional Arabic"/>
          <w:sz w:val="32"/>
          <w:szCs w:val="32"/>
          <w:rtl/>
        </w:rPr>
        <w:t xml:space="preserve">أوصت الدراسة بضرورة تعزيز الاستثمار في تقنيات </w:t>
      </w:r>
      <w:r w:rsidRPr="00C82D47">
        <w:rPr>
          <w:rFonts w:ascii="Traditional Arabic" w:hAnsi="Traditional Arabic" w:cs="Traditional Arabic"/>
          <w:sz w:val="32"/>
          <w:szCs w:val="32"/>
          <w:rtl/>
        </w:rPr>
        <w:lastRenderedPageBreak/>
        <w:t>"البلوك تشين" والذكاء الاصطناعي لتعزيز الشفافية الائتمانية، مع ضرورة تطوير أطر تنظيمية هجينة تجمع بين المتطلبات التقنية والمتغيرات الشرعية لضمان الاستقرار المالي في ظل التحول الرقمي المتسارع</w:t>
      </w:r>
      <w:r w:rsidRPr="00C82D47">
        <w:rPr>
          <w:rFonts w:ascii="Traditional Arabic" w:hAnsi="Traditional Arabic" w:cs="Traditional Arabic"/>
          <w:sz w:val="32"/>
          <w:szCs w:val="32"/>
        </w:rPr>
        <w:t>.</w:t>
      </w:r>
      <w:r w:rsidR="00110B14" w:rsidRPr="00110B14">
        <w:rPr>
          <w:rFonts w:ascii="Traditional Arabic" w:hAnsi="Traditional Arabic" w:cs="Traditional Arabic"/>
          <w:sz w:val="32"/>
          <w:szCs w:val="32"/>
        </w:rPr>
        <w:t xml:space="preserve"> كما تشير القراءة التحليلية للنتائج إلى أن حجم الأثر الكلي للتحول الرقمي في كفاءة إدارة المخاطر الائتمانية يقع في المستوى المتوسط؛ ومن ثم ينبغي تفسير الأثر الإيجابي بحذر وتجنب المبالغة في تعميمه.</w:t>
      </w:r>
      <w:r w:rsidR="00110B14">
        <w:rPr>
          <w:rFonts w:ascii="Traditional Arabic" w:hAnsi="Traditional Arabic" w:cs="Traditional Arabic" w:hint="cs"/>
          <w:sz w:val="32"/>
          <w:szCs w:val="32"/>
          <w:rtl/>
        </w:rPr>
        <w:t xml:space="preserve"> </w:t>
      </w:r>
    </w:p>
    <w:p w14:paraId="0296101A" w14:textId="77777777" w:rsidR="00326DB9" w:rsidRDefault="00326DB9" w:rsidP="00D132F3">
      <w:pPr>
        <w:pStyle w:val="NormalWeb"/>
        <w:bidi/>
        <w:spacing w:before="0" w:beforeAutospacing="0" w:after="0" w:afterAutospacing="0"/>
        <w:jc w:val="lowKashida"/>
      </w:pPr>
      <w:r w:rsidRPr="00E40A53">
        <w:rPr>
          <w:rFonts w:ascii="Traditional Arabic" w:hAnsi="Traditional Arabic" w:cs="Traditional Arabic"/>
          <w:b/>
          <w:bCs/>
          <w:sz w:val="32"/>
          <w:szCs w:val="32"/>
          <w:rtl/>
        </w:rPr>
        <w:t>الكلمات المفتاحية:</w:t>
      </w:r>
      <w:r>
        <w:t xml:space="preserve"> </w:t>
      </w:r>
      <w:r w:rsidRPr="00E40A53">
        <w:rPr>
          <w:rFonts w:ascii="Traditional Arabic" w:hAnsi="Traditional Arabic" w:cs="Traditional Arabic"/>
          <w:sz w:val="32"/>
          <w:szCs w:val="32"/>
          <w:rtl/>
        </w:rPr>
        <w:t xml:space="preserve">التحول الرقمي، نظم المعلومات المحاسبي، الأثر، المخاطر الائتمانية، </w:t>
      </w:r>
      <w:r w:rsidRPr="00C82D47">
        <w:rPr>
          <w:rFonts w:ascii="Traditional Arabic" w:hAnsi="Traditional Arabic" w:cs="Traditional Arabic"/>
          <w:sz w:val="32"/>
          <w:szCs w:val="32"/>
          <w:rtl/>
        </w:rPr>
        <w:t>البنوك الإسلامية</w:t>
      </w:r>
      <w:r w:rsidRPr="00E40A53">
        <w:rPr>
          <w:rFonts w:ascii="Traditional Arabic" w:hAnsi="Traditional Arabic" w:cs="Traditional Arabic"/>
          <w:sz w:val="32"/>
          <w:szCs w:val="32"/>
          <w:rtl/>
        </w:rPr>
        <w:t>.</w:t>
      </w:r>
    </w:p>
    <w:p w14:paraId="27AD6DA9" w14:textId="77777777" w:rsidR="007E218F" w:rsidRPr="00132B8D" w:rsidRDefault="007E218F" w:rsidP="00D132F3">
      <w:pPr>
        <w:spacing w:after="0" w:line="240" w:lineRule="auto"/>
        <w:jc w:val="lowKashida"/>
        <w:rPr>
          <w:rFonts w:ascii="Traditional Arabic" w:hAnsi="Traditional Arabic" w:cs="Traditional Arabic"/>
          <w:sz w:val="32"/>
          <w:szCs w:val="32"/>
          <w:rtl/>
        </w:rPr>
      </w:pPr>
    </w:p>
    <w:p w14:paraId="78238BD5" w14:textId="77777777" w:rsidR="00326DB9" w:rsidRPr="001B7971" w:rsidRDefault="00326DB9" w:rsidP="00D132F3">
      <w:pPr>
        <w:spacing w:after="0" w:line="240" w:lineRule="auto"/>
        <w:jc w:val="lowKashida"/>
        <w:rPr>
          <w:rFonts w:asciiTheme="majorBidi" w:hAnsiTheme="majorBidi" w:cstheme="majorBidi"/>
          <w:rtl/>
        </w:rPr>
      </w:pPr>
    </w:p>
    <w:p w14:paraId="06B86AA9" w14:textId="77777777" w:rsidR="00326DB9" w:rsidRPr="007753B0" w:rsidRDefault="00326DB9" w:rsidP="00D132F3">
      <w:pPr>
        <w:spacing w:after="0" w:line="240" w:lineRule="auto"/>
        <w:jc w:val="lowKashida"/>
        <w:rPr>
          <w:rFonts w:ascii="Garamond" w:hAnsi="Garamond" w:cstheme="majorBidi"/>
          <w:b/>
          <w:bCs/>
        </w:rPr>
      </w:pPr>
      <w:r w:rsidRPr="007753B0">
        <w:rPr>
          <w:rFonts w:ascii="Garamond" w:hAnsi="Garamond" w:cstheme="majorBidi"/>
          <w:b/>
          <w:bCs/>
        </w:rPr>
        <w:t>Abstract</w:t>
      </w:r>
    </w:p>
    <w:p w14:paraId="6BE087AB" w14:textId="16199FC0" w:rsidR="00326DB9" w:rsidRPr="007753B0" w:rsidRDefault="00326DB9" w:rsidP="00D132F3">
      <w:pPr>
        <w:spacing w:after="0" w:line="240" w:lineRule="auto"/>
        <w:jc w:val="lowKashida"/>
        <w:rPr>
          <w:rFonts w:ascii="Garamond" w:hAnsi="Garamond" w:cstheme="majorBidi"/>
        </w:rPr>
      </w:pPr>
      <w:r w:rsidRPr="007753B0">
        <w:rPr>
          <w:rFonts w:ascii="Garamond" w:hAnsi="Garamond" w:cstheme="majorBidi"/>
        </w:rPr>
        <w:t xml:space="preserve">This study aimed to investigate the impact of the digital transformation of accounting information systems (AIS) on enhancing the efficiency and accuracy of measuring and managing credit risks, and the subsequent reflection on the quality of decision-making within Kuwaiti Islamic banks. The study seeks to bridge the research gap </w:t>
      </w:r>
      <w:r w:rsidR="00932913" w:rsidRPr="007753B0">
        <w:rPr>
          <w:rFonts w:ascii="Garamond" w:hAnsi="Garamond" w:cstheme="majorBidi"/>
        </w:rPr>
        <w:t xml:space="preserve">on how digital technologies align </w:t>
      </w:r>
      <w:r w:rsidRPr="007753B0">
        <w:rPr>
          <w:rFonts w:ascii="Garamond" w:hAnsi="Garamond" w:cstheme="majorBidi"/>
        </w:rPr>
        <w:t xml:space="preserve">with the unique context of Islamic banking and its Sharia-compliant frameworks. </w:t>
      </w:r>
      <w:r w:rsidR="00932913" w:rsidRPr="007753B0">
        <w:rPr>
          <w:rFonts w:ascii="Garamond" w:hAnsi="Garamond" w:cstheme="majorBidi"/>
        </w:rPr>
        <w:t>Using a descriptive-analytical approach, the study collected data through an electronic questionnaire distributed to a purposive sample of 80 participants, including accountants, auditors, and IT professionals in</w:t>
      </w:r>
      <w:r w:rsidRPr="007753B0">
        <w:rPr>
          <w:rFonts w:ascii="Garamond" w:hAnsi="Garamond" w:cstheme="majorBidi"/>
        </w:rPr>
        <w:t xml:space="preserve"> the Kuwaiti Islamic banking sector. A five-point Likert scale and inferential statistical tests were employed to analyze the findings. The study revealed that the level of digital transformation in the investigated banks was "high," with "Digital Sharia Compliance" emerging as the primary strategic driver for digitization. Results demonstrated a statistically significant positive impact of </w:t>
      </w:r>
      <w:r w:rsidR="00396312" w:rsidRPr="007753B0">
        <w:rPr>
          <w:rFonts w:ascii="Garamond" w:hAnsi="Garamond" w:cstheme="majorBidi"/>
        </w:rPr>
        <w:t>using advanced technologies (such as Artificial Intelligence and Big Data analytics) on improving the quality and timeliness of credit data, thereby enhancing the accuracy of risk measurement models and reducing</w:t>
      </w:r>
      <w:r w:rsidRPr="007753B0">
        <w:rPr>
          <w:rFonts w:ascii="Garamond" w:hAnsi="Garamond" w:cstheme="majorBidi"/>
        </w:rPr>
        <w:t xml:space="preserve"> the probability of financial default. Nevertheless, the findings </w:t>
      </w:r>
      <w:r w:rsidR="00396312" w:rsidRPr="007753B0">
        <w:rPr>
          <w:rFonts w:ascii="Garamond" w:hAnsi="Garamond" w:cstheme="majorBidi"/>
        </w:rPr>
        <w:t>revealed substantial cybersecurity challenges and the need to update</w:t>
      </w:r>
      <w:r w:rsidRPr="007753B0">
        <w:rPr>
          <w:rFonts w:ascii="Garamond" w:hAnsi="Garamond" w:cstheme="majorBidi"/>
        </w:rPr>
        <w:t xml:space="preserve"> legislative frameworks governing digital operations. The study recommended intensifying investment in Blockchain and AI technologies to bolster credit transparency, while emphasizing the development of hybrid regulatory frameworks that integrate technical requirements with Sharia considerations to ensure financial stability amidst accelerating digital transformation.</w:t>
      </w:r>
      <w:r w:rsidR="00932913" w:rsidRPr="007753B0">
        <w:rPr>
          <w:rFonts w:ascii="Garamond" w:hAnsi="Garamond" w:cstheme="majorBidi"/>
          <w:rtl/>
        </w:rPr>
        <w:t xml:space="preserve"> </w:t>
      </w:r>
      <w:r w:rsidR="00932913" w:rsidRPr="007753B0">
        <w:rPr>
          <w:rFonts w:ascii="Garamond" w:hAnsi="Garamond" w:cstheme="majorBidi"/>
        </w:rPr>
        <w:t>The analytical interpretation further indicates that the overall effect size is moderate; therefore, the positive impact should be interpreted cautiously and should not be overstated or generalized beyond the study context.</w:t>
      </w:r>
    </w:p>
    <w:p w14:paraId="7012437E" w14:textId="77777777" w:rsidR="007753B0" w:rsidRPr="007753B0" w:rsidRDefault="007753B0" w:rsidP="00D132F3">
      <w:pPr>
        <w:spacing w:after="0" w:line="240" w:lineRule="auto"/>
        <w:jc w:val="lowKashida"/>
        <w:rPr>
          <w:rFonts w:ascii="Garamond" w:hAnsi="Garamond" w:cstheme="majorBidi"/>
        </w:rPr>
      </w:pPr>
    </w:p>
    <w:p w14:paraId="1FC1A6C1" w14:textId="77777777" w:rsidR="00326DB9" w:rsidRPr="007753B0" w:rsidRDefault="00326DB9" w:rsidP="00D132F3">
      <w:pPr>
        <w:spacing w:after="0" w:line="240" w:lineRule="auto"/>
        <w:jc w:val="lowKashida"/>
        <w:rPr>
          <w:rFonts w:ascii="Garamond" w:hAnsi="Garamond" w:cstheme="majorBidi"/>
        </w:rPr>
      </w:pPr>
      <w:r w:rsidRPr="007753B0">
        <w:rPr>
          <w:rFonts w:ascii="Garamond" w:hAnsi="Garamond" w:cstheme="majorBidi"/>
        </w:rPr>
        <w:t>Keywords: Digital Transformation, Accounting Information Systems (AIS), Impact, Credit Risks, Islamic Banks</w:t>
      </w:r>
      <w:r w:rsidRPr="007753B0">
        <w:rPr>
          <w:rFonts w:ascii="Garamond" w:hAnsi="Garamond" w:cstheme="majorBidi"/>
          <w:rtl/>
        </w:rPr>
        <w:t>.</w:t>
      </w:r>
    </w:p>
    <w:p w14:paraId="4784E16E" w14:textId="77777777" w:rsidR="00326DB9" w:rsidRDefault="00326DB9" w:rsidP="00D132F3">
      <w:pPr>
        <w:bidi/>
        <w:spacing w:after="0" w:line="240" w:lineRule="auto"/>
        <w:jc w:val="lowKashida"/>
        <w:rPr>
          <w:rFonts w:ascii="Traditional Arabic" w:hAnsi="Traditional Arabic" w:cs="Traditional Arabic"/>
          <w:sz w:val="32"/>
          <w:szCs w:val="32"/>
        </w:rPr>
      </w:pPr>
    </w:p>
    <w:p w14:paraId="737C0ACE" w14:textId="77777777" w:rsidR="0048758C" w:rsidRDefault="0048758C" w:rsidP="0048758C">
      <w:pPr>
        <w:bidi/>
        <w:spacing w:after="0" w:line="240" w:lineRule="auto"/>
        <w:jc w:val="lowKashida"/>
        <w:rPr>
          <w:rFonts w:ascii="Traditional Arabic" w:hAnsi="Traditional Arabic" w:cs="Traditional Arabic"/>
          <w:sz w:val="32"/>
          <w:szCs w:val="32"/>
        </w:rPr>
      </w:pPr>
    </w:p>
    <w:p w14:paraId="4FC9223C" w14:textId="77777777" w:rsidR="00326DB9" w:rsidRPr="00BC081E" w:rsidRDefault="00326DB9" w:rsidP="00D132F3">
      <w:pPr>
        <w:bidi/>
        <w:spacing w:after="0" w:line="240" w:lineRule="auto"/>
        <w:jc w:val="lowKashida"/>
        <w:rPr>
          <w:rFonts w:ascii="Times New Roman" w:eastAsia="Times New Roman" w:hAnsi="Times New Roman" w:cs="Times New Roman"/>
          <w:kern w:val="0"/>
          <w:rtl/>
          <w14:ligatures w14:val="none"/>
        </w:rPr>
      </w:pPr>
      <w:r w:rsidRPr="00BC081E">
        <w:rPr>
          <w:rFonts w:ascii="Times New Roman" w:eastAsia="Times New Roman" w:hAnsi="Times New Roman" w:cs="Times New Roman"/>
          <w:b/>
          <w:bCs/>
          <w:kern w:val="0"/>
          <w:rtl/>
          <w14:ligatures w14:val="none"/>
        </w:rPr>
        <w:t>مقدمة البحث:</w:t>
      </w:r>
    </w:p>
    <w:p w14:paraId="72333980" w14:textId="49A366E6" w:rsidR="00326DB9"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sidRPr="00BC081E">
        <w:rPr>
          <w:rFonts w:ascii="Traditional Arabic" w:eastAsia="Times New Roman" w:hAnsi="Traditional Arabic" w:cs="Traditional Arabic"/>
          <w:kern w:val="0"/>
          <w:sz w:val="32"/>
          <w:szCs w:val="32"/>
          <w:rtl/>
          <w14:ligatures w14:val="none"/>
        </w:rPr>
        <w:t>يشهد الاقتصاد العالمي تحولات جذرية مدفوعة بوتيرة متسارعة من الابتكار التكنولوجي، حيث أضحى التحول الرقمي ليس مجرد خيار ترفي، بل ضرورة استراتيجية قصوى للمؤسسات الراغبة في الحفاظ على قدرتها التنافسية وتعزيز استدامتها (</w:t>
      </w:r>
      <w:r w:rsidRPr="00995DF4">
        <w:rPr>
          <w:rFonts w:asciiTheme="majorBidi" w:eastAsia="Times New Roman" w:hAnsiTheme="majorBidi" w:cstheme="majorBidi"/>
          <w:kern w:val="0"/>
          <w14:ligatures w14:val="none"/>
        </w:rPr>
        <w:t>Bharadwaj et al., 2013</w:t>
      </w:r>
      <w:r w:rsidRPr="00BC081E">
        <w:rPr>
          <w:rFonts w:ascii="Traditional Arabic" w:eastAsia="Times New Roman" w:hAnsi="Traditional Arabic" w:cs="Traditional Arabic"/>
          <w:kern w:val="0"/>
          <w:sz w:val="32"/>
          <w:szCs w:val="32"/>
          <w:rtl/>
          <w14:ligatures w14:val="none"/>
        </w:rPr>
        <w:t xml:space="preserve">). وفي قلب هذه التحولات، تبرز نظم المعلومات المحاسبية كعمود فقري لأي منظومة مالية، إذ تمثل الرافد الأساسي للبيانات الدقيقة والموثوقة التي لا غنى عنها لعمليات التخطيط والرقابة وصناعة القرار </w:t>
      </w:r>
      <w:r w:rsidRPr="00BC081E">
        <w:rPr>
          <w:rFonts w:ascii="Traditional Arabic" w:eastAsia="Times New Roman" w:hAnsi="Traditional Arabic" w:cs="Traditional Arabic"/>
          <w:kern w:val="0"/>
          <w:sz w:val="32"/>
          <w:szCs w:val="32"/>
          <w:rtl/>
          <w14:ligatures w14:val="none"/>
        </w:rPr>
        <w:lastRenderedPageBreak/>
        <w:t>(</w:t>
      </w:r>
      <w:r w:rsidRPr="00995DF4">
        <w:rPr>
          <w:rFonts w:asciiTheme="majorBidi" w:eastAsia="Times New Roman" w:hAnsiTheme="majorBidi" w:cstheme="majorBidi"/>
          <w:kern w:val="0"/>
          <w14:ligatures w14:val="none"/>
        </w:rPr>
        <w:t>Romney</w:t>
      </w:r>
      <w:r w:rsidRPr="00995DF4">
        <w:rPr>
          <w:rFonts w:asciiTheme="majorBidi" w:eastAsia="Times New Roman" w:hAnsiTheme="majorBidi" w:cstheme="majorBidi"/>
          <w:kern w:val="0"/>
          <w:rtl/>
          <w14:ligatures w14:val="none"/>
        </w:rPr>
        <w:t xml:space="preserve"> &amp; </w:t>
      </w:r>
      <w:r w:rsidRPr="00995DF4">
        <w:rPr>
          <w:rFonts w:asciiTheme="majorBidi" w:eastAsia="Times New Roman" w:hAnsiTheme="majorBidi" w:cstheme="majorBidi"/>
          <w:kern w:val="0"/>
          <w14:ligatures w14:val="none"/>
        </w:rPr>
        <w:t>Steinbart, 2021</w:t>
      </w:r>
      <w:r w:rsidRPr="00BC081E">
        <w:rPr>
          <w:rFonts w:ascii="Traditional Arabic" w:eastAsia="Times New Roman" w:hAnsi="Traditional Arabic" w:cs="Traditional Arabic"/>
          <w:kern w:val="0"/>
          <w:sz w:val="32"/>
          <w:szCs w:val="32"/>
          <w:rtl/>
          <w14:ligatures w14:val="none"/>
        </w:rPr>
        <w:t>). يكتسب هذا الدور أهمية مضاعفة في القطاع المصرفي، الذي يتسم بالتعقيد التنظيمي والمخاطر المتعددة، خاصة في ظل بيئة اقتصادية عالمية متقلبة.</w:t>
      </w:r>
    </w:p>
    <w:p w14:paraId="1CAF5D99" w14:textId="77777777" w:rsidR="00E64BC2" w:rsidRPr="00BC081E" w:rsidRDefault="00E64BC2" w:rsidP="00E64BC2">
      <w:pPr>
        <w:bidi/>
        <w:spacing w:after="0" w:line="240" w:lineRule="auto"/>
        <w:jc w:val="lowKashida"/>
        <w:rPr>
          <w:rFonts w:ascii="Traditional Arabic" w:eastAsia="Times New Roman" w:hAnsi="Traditional Arabic" w:cs="Traditional Arabic"/>
          <w:kern w:val="0"/>
          <w:sz w:val="32"/>
          <w:szCs w:val="32"/>
          <w:rtl/>
          <w14:ligatures w14:val="none"/>
        </w:rPr>
      </w:pPr>
    </w:p>
    <w:p w14:paraId="3231DE4F" w14:textId="0EA67A78" w:rsidR="00326DB9"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sidRPr="00BC081E">
        <w:rPr>
          <w:rFonts w:ascii="Traditional Arabic" w:eastAsia="Times New Roman" w:hAnsi="Traditional Arabic" w:cs="Traditional Arabic"/>
          <w:kern w:val="0"/>
          <w:sz w:val="32"/>
          <w:szCs w:val="32"/>
          <w:rtl/>
          <w14:ligatures w14:val="none"/>
        </w:rPr>
        <w:t>تتجه البنوك، على اختلاف أنواعها، نحو استثمار مكثف في التقنيات الرقمية لتعزيز كفاءة عملياتها، غير أن هذا التوجه يحمل أبعادًا فريدة في سياق البنوك الإسلامية. فبينما تسعى هذه البنوك إلى تبني أحدث الحلول الرقمية، يتوجب عليها في الوقت ذاته الالتزام الصارم بالمبادئ والأحكام الشرعية التي تحكم جميع معاملاتها ومنتجاتها (</w:t>
      </w:r>
      <w:r w:rsidRPr="00995DF4">
        <w:rPr>
          <w:rFonts w:asciiTheme="majorBidi" w:eastAsia="Times New Roman" w:hAnsiTheme="majorBidi" w:cstheme="majorBidi"/>
          <w:kern w:val="0"/>
          <w14:ligatures w14:val="none"/>
        </w:rPr>
        <w:t>El-Gamal, 2006</w:t>
      </w:r>
      <w:r w:rsidRPr="00995DF4">
        <w:rPr>
          <w:rFonts w:asciiTheme="majorBidi" w:eastAsia="Times New Roman" w:hAnsiTheme="majorBidi" w:cstheme="majorBidi"/>
          <w:kern w:val="0"/>
          <w:rtl/>
          <w14:ligatures w14:val="none"/>
        </w:rPr>
        <w:t xml:space="preserve">). </w:t>
      </w:r>
      <w:r w:rsidRPr="00BC081E">
        <w:rPr>
          <w:rFonts w:ascii="Traditional Arabic" w:eastAsia="Times New Roman" w:hAnsi="Traditional Arabic" w:cs="Traditional Arabic"/>
          <w:kern w:val="0"/>
          <w:sz w:val="32"/>
          <w:szCs w:val="32"/>
          <w:rtl/>
          <w14:ligatures w14:val="none"/>
        </w:rPr>
        <w:t>هذا التحدي المزدوج يفرض ضرورة فهم عميق لكيفية تحقيق التحول الرقمي لنظم معلوماتها المحاسبية بطريقة لا تتعارض مع قيمها الجوهرية، بل وتعزز من قدرتها على إدارة المخاطر المتأصلة في طبيعة أعمالها المصرفية، وعلى رأسها المخاطر الائتمانية.</w:t>
      </w:r>
    </w:p>
    <w:p w14:paraId="23B516CD" w14:textId="77777777" w:rsidR="00E64BC2" w:rsidRPr="00BC081E" w:rsidRDefault="00E64BC2" w:rsidP="00E64BC2">
      <w:pPr>
        <w:bidi/>
        <w:spacing w:after="0" w:line="240" w:lineRule="auto"/>
        <w:jc w:val="lowKashida"/>
        <w:rPr>
          <w:rFonts w:ascii="Traditional Arabic" w:eastAsia="Times New Roman" w:hAnsi="Traditional Arabic" w:cs="Traditional Arabic"/>
          <w:kern w:val="0"/>
          <w:sz w:val="32"/>
          <w:szCs w:val="32"/>
          <w:rtl/>
          <w14:ligatures w14:val="none"/>
        </w:rPr>
      </w:pPr>
    </w:p>
    <w:p w14:paraId="3E2A4B73" w14:textId="28295BC6" w:rsidR="00326DB9"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sidRPr="00BC081E">
        <w:rPr>
          <w:rFonts w:ascii="Traditional Arabic" w:eastAsia="Times New Roman" w:hAnsi="Traditional Arabic" w:cs="Traditional Arabic"/>
          <w:kern w:val="0"/>
          <w:sz w:val="32"/>
          <w:szCs w:val="32"/>
          <w:rtl/>
          <w14:ligatures w14:val="none"/>
        </w:rPr>
        <w:t>تُعد إدارة المخاطر الائتمانية ركيزة أساسية لسلامة ومتانة أي مؤسسة مالية، فسوء إدارتها قد يؤدي إلى تآكل رأس المال، وتقويض الثقة، وتهديد الاستقرار المالي للمؤسسة ككل (</w:t>
      </w:r>
      <w:r w:rsidRPr="00995DF4">
        <w:rPr>
          <w:rFonts w:asciiTheme="majorBidi" w:eastAsia="Times New Roman" w:hAnsiTheme="majorBidi" w:cstheme="majorBidi"/>
          <w:kern w:val="0"/>
          <w14:ligatures w14:val="none"/>
        </w:rPr>
        <w:t>Basel Committee on Banking Supervision, 2006</w:t>
      </w:r>
      <w:r w:rsidRPr="00BC081E">
        <w:rPr>
          <w:rFonts w:ascii="Traditional Arabic" w:eastAsia="Times New Roman" w:hAnsi="Traditional Arabic" w:cs="Traditional Arabic"/>
          <w:kern w:val="0"/>
          <w:sz w:val="32"/>
          <w:szCs w:val="32"/>
          <w:rtl/>
          <w14:ligatures w14:val="none"/>
        </w:rPr>
        <w:t>). وفي البيئة المصرفية الكويتية، التي تتسم بخصوصيات اقتصادية وتنظيمية، يصبح تعزيز كفاءة هذه الإدارة أمرًا حيويًا لضمان استمرارية نمو البنوك الإسلامية في ظل تنامي المنافسة وتصاعد حدة المخاطر. لذا، تبرز الحاجة الماسة إلى استكشاف العلاقة التكافلية بين التحول الرقمي لنظم المعلومات المحاسبية والقدرة على تعزيز فعالية إدارة المخاطر الائتمانية، لا سيما في البنوك الإسلامية الكويتية التي تعمل ضمن إطار شرعي وتنظيمي محدد.</w:t>
      </w:r>
    </w:p>
    <w:p w14:paraId="55B2931F" w14:textId="77777777" w:rsidR="00E64BC2" w:rsidRPr="00BC081E" w:rsidRDefault="00E64BC2" w:rsidP="00E64BC2">
      <w:pPr>
        <w:bidi/>
        <w:spacing w:after="0" w:line="240" w:lineRule="auto"/>
        <w:jc w:val="lowKashida"/>
        <w:rPr>
          <w:rFonts w:ascii="Traditional Arabic" w:eastAsia="Times New Roman" w:hAnsi="Traditional Arabic" w:cs="Traditional Arabic"/>
          <w:kern w:val="0"/>
          <w:sz w:val="32"/>
          <w:szCs w:val="32"/>
          <w:rtl/>
          <w14:ligatures w14:val="none"/>
        </w:rPr>
      </w:pPr>
    </w:p>
    <w:p w14:paraId="779D50F1" w14:textId="77777777" w:rsidR="00326DB9"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sidRPr="00E40A53">
        <w:rPr>
          <w:rFonts w:ascii="Traditional Arabic" w:eastAsia="Times New Roman" w:hAnsi="Traditional Arabic" w:cs="Traditional Arabic"/>
          <w:b/>
          <w:bCs/>
          <w:kern w:val="0"/>
          <w:sz w:val="32"/>
          <w:szCs w:val="32"/>
          <w:rtl/>
          <w14:ligatures w14:val="none"/>
        </w:rPr>
        <w:t>مشكلة البحث:</w:t>
      </w:r>
    </w:p>
    <w:p w14:paraId="69372968" w14:textId="3EC2DE15" w:rsidR="00326DB9"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sidRPr="00FB4C64">
        <w:rPr>
          <w:rFonts w:ascii="Traditional Arabic" w:eastAsia="Times New Roman" w:hAnsi="Traditional Arabic" w:cs="Traditional Arabic"/>
          <w:kern w:val="0"/>
          <w:sz w:val="32"/>
          <w:szCs w:val="32"/>
          <w:rtl/>
          <w14:ligatures w14:val="none"/>
        </w:rPr>
        <w:t>على الرغم من الإدراك المتزايد لأهمية التحول الرقمي في القطاع المصرفي العالمي والجهود المبذولة في هذا الاتجاه (</w:t>
      </w:r>
      <w:r w:rsidRPr="00995DF4">
        <w:rPr>
          <w:rFonts w:asciiTheme="majorBidi" w:eastAsia="Times New Roman" w:hAnsiTheme="majorBidi" w:cstheme="majorBidi"/>
          <w:kern w:val="0"/>
          <w14:ligatures w14:val="none"/>
        </w:rPr>
        <w:t>Bhimani</w:t>
      </w:r>
      <w:r w:rsidRPr="00995DF4">
        <w:rPr>
          <w:rFonts w:asciiTheme="majorBidi" w:eastAsia="Times New Roman" w:hAnsiTheme="majorBidi" w:cstheme="majorBidi"/>
          <w:kern w:val="0"/>
          <w:rtl/>
          <w14:ligatures w14:val="none"/>
        </w:rPr>
        <w:t xml:space="preserve"> &amp; </w:t>
      </w:r>
      <w:r w:rsidRPr="00995DF4">
        <w:rPr>
          <w:rFonts w:asciiTheme="majorBidi" w:eastAsia="Times New Roman" w:hAnsiTheme="majorBidi" w:cstheme="majorBidi"/>
          <w:kern w:val="0"/>
          <w14:ligatures w14:val="none"/>
        </w:rPr>
        <w:t>Willcocks, 2014</w:t>
      </w:r>
      <w:r w:rsidRPr="00FB4C64">
        <w:rPr>
          <w:rFonts w:ascii="Traditional Arabic" w:eastAsia="Times New Roman" w:hAnsi="Traditional Arabic" w:cs="Traditional Arabic"/>
          <w:kern w:val="0"/>
          <w:sz w:val="32"/>
          <w:szCs w:val="32"/>
          <w:rtl/>
          <w14:ligatures w14:val="none"/>
        </w:rPr>
        <w:t xml:space="preserve">)، لا يزال هناك قصور بحثي ملحوظ في الفهم العميق والمحدد لكيفية تأثير التحول الرقمي لنظم المعلومات المحاسبية </w:t>
      </w:r>
      <w:r w:rsidRPr="00FB4C64">
        <w:rPr>
          <w:rFonts w:ascii="Traditional Arabic" w:eastAsia="Times New Roman" w:hAnsi="Traditional Arabic" w:cs="Traditional Arabic"/>
          <w:b/>
          <w:bCs/>
          <w:kern w:val="0"/>
          <w:sz w:val="32"/>
          <w:szCs w:val="32"/>
          <w:rtl/>
          <w14:ligatures w14:val="none"/>
        </w:rPr>
        <w:t>بالذات</w:t>
      </w:r>
      <w:r w:rsidRPr="00FB4C64">
        <w:rPr>
          <w:rFonts w:ascii="Traditional Arabic" w:eastAsia="Times New Roman" w:hAnsi="Traditional Arabic" w:cs="Traditional Arabic"/>
          <w:kern w:val="0"/>
          <w:sz w:val="32"/>
          <w:szCs w:val="32"/>
          <w:rtl/>
          <w14:ligatures w14:val="none"/>
        </w:rPr>
        <w:t xml:space="preserve"> على كفاءة إدارة المخاطر الائتمانية في السياق الفريد للبنوك الإسلامية الكويتية. فمعظم الدراسات إما أنها تركز على التحول الرقمي بمعناه العام دون ربطه بنظم المعلومات المحاسبية وتأثيراتها المباشرة، أو أنها تتناول إدارة المخاطر الائتمانية دون تسليط الضوء الكافي على الدور المحوري للتقنيات المحاسبية الحديثة في تعزيزها (</w:t>
      </w:r>
      <w:r w:rsidRPr="00995DF4">
        <w:rPr>
          <w:rFonts w:asciiTheme="majorBidi" w:eastAsia="Times New Roman" w:hAnsiTheme="majorBidi" w:cstheme="majorBidi"/>
          <w:kern w:val="0"/>
          <w14:ligatures w14:val="none"/>
        </w:rPr>
        <w:t>Al-Tamimi, 2020</w:t>
      </w:r>
      <w:r w:rsidRPr="00995DF4">
        <w:rPr>
          <w:rFonts w:asciiTheme="majorBidi" w:eastAsia="Times New Roman" w:hAnsiTheme="majorBidi" w:cstheme="majorBidi"/>
          <w:kern w:val="0"/>
          <w:rtl/>
          <w14:ligatures w14:val="none"/>
        </w:rPr>
        <w:t xml:space="preserve">؛ </w:t>
      </w:r>
      <w:r w:rsidRPr="00995DF4">
        <w:rPr>
          <w:rFonts w:asciiTheme="majorBidi" w:eastAsia="Times New Roman" w:hAnsiTheme="majorBidi" w:cstheme="majorBidi"/>
          <w:kern w:val="0"/>
          <w14:ligatures w14:val="none"/>
        </w:rPr>
        <w:t>Abdullah</w:t>
      </w:r>
      <w:r w:rsidRPr="00995DF4">
        <w:rPr>
          <w:rFonts w:asciiTheme="majorBidi" w:eastAsia="Times New Roman" w:hAnsiTheme="majorBidi" w:cstheme="majorBidi"/>
          <w:kern w:val="0"/>
          <w:rtl/>
          <w14:ligatures w14:val="none"/>
        </w:rPr>
        <w:t xml:space="preserve"> &amp; </w:t>
      </w:r>
      <w:r w:rsidRPr="00995DF4">
        <w:rPr>
          <w:rFonts w:asciiTheme="majorBidi" w:eastAsia="Times New Roman" w:hAnsiTheme="majorBidi" w:cstheme="majorBidi"/>
          <w:kern w:val="0"/>
          <w14:ligatures w14:val="none"/>
        </w:rPr>
        <w:t>Hassan, 2017</w:t>
      </w:r>
      <w:r w:rsidRPr="00995DF4">
        <w:rPr>
          <w:rFonts w:asciiTheme="majorBidi" w:eastAsia="Times New Roman" w:hAnsiTheme="majorBidi" w:cstheme="majorBidi"/>
          <w:kern w:val="0"/>
          <w:rtl/>
          <w14:ligatures w14:val="none"/>
        </w:rPr>
        <w:t xml:space="preserve">)، </w:t>
      </w:r>
      <w:r w:rsidRPr="00FB4C64">
        <w:rPr>
          <w:rFonts w:ascii="Traditional Arabic" w:eastAsia="Times New Roman" w:hAnsi="Traditional Arabic" w:cs="Traditional Arabic"/>
          <w:kern w:val="0"/>
          <w:sz w:val="32"/>
          <w:szCs w:val="32"/>
          <w:rtl/>
          <w14:ligatures w14:val="none"/>
        </w:rPr>
        <w:t xml:space="preserve">تتمثل الفجوة البحثية الجوهرية في عدم وجود إطار تحليلي متكامل يوضح بشكل كمي وكيفي مدى مساهمة نظم المعلومات المحاسبية الإلكترونية، في ظل التحول الرقمي، في تحسين جودة البيانات المحاسبية الائتمانية، ودقة نماذج قياس المخاطر، وفعالية آليات المراقبة والتحكم، وبالتالي </w:t>
      </w:r>
      <w:r w:rsidRPr="00FB4C64">
        <w:rPr>
          <w:rFonts w:ascii="Traditional Arabic" w:eastAsia="Times New Roman" w:hAnsi="Traditional Arabic" w:cs="Traditional Arabic"/>
          <w:kern w:val="0"/>
          <w:sz w:val="32"/>
          <w:szCs w:val="32"/>
          <w:rtl/>
          <w14:ligatures w14:val="none"/>
        </w:rPr>
        <w:lastRenderedPageBreak/>
        <w:t>الارتقاء بكفاءة عملية اتخاذ القرارات الائتمانية في هذه البنوك تحديداً. هذا القصور يترك العديد من التساؤلات الحاسمة بلا إجابات وافية، والتي تشكل جوهر مشكلة البحث الحالية:</w:t>
      </w:r>
    </w:p>
    <w:p w14:paraId="54CEB2F4" w14:textId="77777777" w:rsidR="00E64BC2" w:rsidRPr="00FB4C64" w:rsidRDefault="00E64BC2" w:rsidP="00E64BC2">
      <w:pPr>
        <w:bidi/>
        <w:spacing w:after="0" w:line="240" w:lineRule="auto"/>
        <w:jc w:val="lowKashida"/>
        <w:rPr>
          <w:rFonts w:ascii="Traditional Arabic" w:eastAsia="Times New Roman" w:hAnsi="Traditional Arabic" w:cs="Traditional Arabic"/>
          <w:kern w:val="0"/>
          <w:sz w:val="32"/>
          <w:szCs w:val="32"/>
          <w:rtl/>
          <w14:ligatures w14:val="none"/>
        </w:rPr>
      </w:pPr>
    </w:p>
    <w:p w14:paraId="043C5E5D" w14:textId="77777777" w:rsidR="00326DB9" w:rsidRPr="00995DF4" w:rsidRDefault="00326DB9" w:rsidP="00D132F3">
      <w:pPr>
        <w:bidi/>
        <w:spacing w:after="0" w:line="240" w:lineRule="auto"/>
        <w:jc w:val="lowKashida"/>
        <w:rPr>
          <w:rFonts w:ascii="Times New Roman" w:eastAsia="Times New Roman" w:hAnsi="Times New Roman" w:cs="Times New Roman"/>
          <w:b/>
          <w:bCs/>
          <w:kern w:val="0"/>
          <w:sz w:val="32"/>
          <w:szCs w:val="32"/>
          <w:rtl/>
          <w14:ligatures w14:val="none"/>
        </w:rPr>
      </w:pPr>
      <w:r w:rsidRPr="00995DF4">
        <w:rPr>
          <w:rFonts w:ascii="Times New Roman" w:eastAsia="Times New Roman" w:hAnsi="Times New Roman" w:cs="Times New Roman" w:hint="cs"/>
          <w:b/>
          <w:bCs/>
          <w:kern w:val="0"/>
          <w:sz w:val="32"/>
          <w:szCs w:val="32"/>
          <w:rtl/>
          <w14:ligatures w14:val="none"/>
        </w:rPr>
        <w:t>- تساؤلات البحث:</w:t>
      </w:r>
    </w:p>
    <w:p w14:paraId="1AFCD8A0" w14:textId="77777777" w:rsidR="00326DB9" w:rsidRPr="002E2E3F"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2E2E3F">
        <w:rPr>
          <w:rFonts w:ascii="Traditional Arabic" w:eastAsia="Times New Roman" w:hAnsi="Traditional Arabic" w:cs="Traditional Arabic"/>
          <w:kern w:val="0"/>
          <w:sz w:val="32"/>
          <w:szCs w:val="32"/>
          <w:rtl/>
          <w14:ligatures w14:val="none"/>
        </w:rPr>
        <w:t>س1 عرف كلا من: التحول الرقمي، نظم المعلومات المحاسبي، الأثر، المخاطر الائتمانية؟</w:t>
      </w:r>
    </w:p>
    <w:p w14:paraId="710F267F" w14:textId="77777777" w:rsidR="00326DB9" w:rsidRPr="00BC081E"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sidRPr="002E2E3F">
        <w:rPr>
          <w:rFonts w:ascii="Traditional Arabic" w:eastAsia="Times New Roman" w:hAnsi="Traditional Arabic" w:cs="Traditional Arabic"/>
          <w:kern w:val="0"/>
          <w:sz w:val="32"/>
          <w:szCs w:val="32"/>
          <w:rtl/>
          <w14:ligatures w14:val="none"/>
        </w:rPr>
        <w:t>س2 ما</w:t>
      </w:r>
      <w:r w:rsidRPr="00BC081E">
        <w:rPr>
          <w:rFonts w:ascii="Traditional Arabic" w:eastAsia="Times New Roman" w:hAnsi="Traditional Arabic" w:cs="Traditional Arabic"/>
          <w:kern w:val="0"/>
          <w:sz w:val="32"/>
          <w:szCs w:val="32"/>
          <w:rtl/>
          <w14:ligatures w14:val="none"/>
        </w:rPr>
        <w:t xml:space="preserve"> هو واقع التحول الرقمي لنظم المعلومات المحاسبية في البنوك الإسلامية الكويتية، وما هي أبرز التحديات التي تواجه تطبيقها؟</w:t>
      </w:r>
    </w:p>
    <w:p w14:paraId="6D44D510" w14:textId="75387BB4" w:rsidR="00326DB9"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sidRPr="002E2E3F">
        <w:rPr>
          <w:rFonts w:ascii="Traditional Arabic" w:eastAsia="Times New Roman" w:hAnsi="Traditional Arabic" w:cs="Traditional Arabic"/>
          <w:kern w:val="0"/>
          <w:sz w:val="32"/>
          <w:szCs w:val="32"/>
          <w:rtl/>
          <w14:ligatures w14:val="none"/>
        </w:rPr>
        <w:t xml:space="preserve">س3 </w:t>
      </w:r>
      <w:r w:rsidRPr="00BC081E">
        <w:rPr>
          <w:rFonts w:ascii="Traditional Arabic" w:eastAsia="Times New Roman" w:hAnsi="Traditional Arabic" w:cs="Traditional Arabic"/>
          <w:kern w:val="0"/>
          <w:sz w:val="32"/>
          <w:szCs w:val="32"/>
          <w:rtl/>
          <w14:ligatures w14:val="none"/>
        </w:rPr>
        <w:t>كيف تساهم نظم المعلومات المحاسبية الإلكترونية، في سياق التحول الرقمي، في تعزيز كفاءة ودقة قياس وإدارة المخاطر الائتمانية، وأثر ذلك على عملية اتخاذ القرارات الائتمانية في البنوك الإسلامية الكويتية؟</w:t>
      </w:r>
    </w:p>
    <w:p w14:paraId="12EEA24D" w14:textId="77777777" w:rsidR="00E64BC2" w:rsidRPr="00BC081E" w:rsidRDefault="00E64BC2" w:rsidP="00E64BC2">
      <w:pPr>
        <w:bidi/>
        <w:spacing w:after="0" w:line="240" w:lineRule="auto"/>
        <w:jc w:val="lowKashida"/>
        <w:rPr>
          <w:rFonts w:ascii="Traditional Arabic" w:eastAsia="Times New Roman" w:hAnsi="Traditional Arabic" w:cs="Traditional Arabic"/>
          <w:kern w:val="0"/>
          <w:sz w:val="32"/>
          <w:szCs w:val="32"/>
          <w:rtl/>
          <w14:ligatures w14:val="none"/>
        </w:rPr>
      </w:pPr>
    </w:p>
    <w:p w14:paraId="04AEBBA1" w14:textId="77777777" w:rsidR="00326DB9" w:rsidRPr="00FB4C64" w:rsidRDefault="00326DB9" w:rsidP="00D132F3">
      <w:pPr>
        <w:bidi/>
        <w:spacing w:after="0" w:line="240" w:lineRule="auto"/>
        <w:jc w:val="lowKashida"/>
        <w:rPr>
          <w:rFonts w:ascii="Traditional Arabic" w:hAnsi="Traditional Arabic" w:cs="Traditional Arabic"/>
          <w:b/>
          <w:bCs/>
          <w:sz w:val="32"/>
          <w:szCs w:val="32"/>
          <w:rtl/>
        </w:rPr>
      </w:pPr>
      <w:r w:rsidRPr="00FB4C64">
        <w:rPr>
          <w:rFonts w:ascii="Traditional Arabic" w:hAnsi="Traditional Arabic" w:cs="Traditional Arabic" w:hint="cs"/>
          <w:b/>
          <w:bCs/>
          <w:sz w:val="32"/>
          <w:szCs w:val="32"/>
          <w:rtl/>
        </w:rPr>
        <w:t>أهداف البحث:</w:t>
      </w:r>
    </w:p>
    <w:p w14:paraId="3E60C9DC" w14:textId="77777777" w:rsidR="00326DB9" w:rsidRDefault="00326DB9" w:rsidP="00D132F3">
      <w:pPr>
        <w:bidi/>
        <w:spacing w:after="0" w:line="240" w:lineRule="auto"/>
        <w:jc w:val="lowKashida"/>
        <w:rPr>
          <w:rFonts w:ascii="Traditional Arabic" w:hAnsi="Traditional Arabic" w:cs="Traditional Arabic"/>
          <w:sz w:val="32"/>
          <w:szCs w:val="32"/>
        </w:rPr>
      </w:pPr>
      <w:r>
        <w:rPr>
          <w:rFonts w:ascii="Traditional Arabic" w:hAnsi="Traditional Arabic" w:cs="Traditional Arabic" w:hint="cs"/>
          <w:sz w:val="32"/>
          <w:szCs w:val="32"/>
          <w:rtl/>
        </w:rPr>
        <w:t xml:space="preserve">-تعريف كلا من: </w:t>
      </w:r>
      <w:bookmarkStart w:id="2" w:name="_Hlk209200020"/>
      <w:r>
        <w:rPr>
          <w:rFonts w:ascii="Traditional Arabic" w:hAnsi="Traditional Arabic" w:cs="Traditional Arabic" w:hint="cs"/>
          <w:sz w:val="32"/>
          <w:szCs w:val="32"/>
          <w:rtl/>
        </w:rPr>
        <w:t>التحول الرقمي، نظم المعلومات المحاسبي، الأثر، المخاطر الائتمانية</w:t>
      </w:r>
      <w:bookmarkEnd w:id="2"/>
      <w:r>
        <w:rPr>
          <w:rFonts w:ascii="Traditional Arabic" w:hAnsi="Traditional Arabic" w:cs="Traditional Arabic" w:hint="cs"/>
          <w:sz w:val="32"/>
          <w:szCs w:val="32"/>
          <w:rtl/>
        </w:rPr>
        <w:t>.</w:t>
      </w:r>
    </w:p>
    <w:p w14:paraId="222CC382" w14:textId="77777777" w:rsidR="00326DB9" w:rsidRDefault="00326DB9" w:rsidP="00D132F3">
      <w:pPr>
        <w:bidi/>
        <w:spacing w:after="0" w:line="240" w:lineRule="auto"/>
        <w:jc w:val="lowKashida"/>
        <w:rPr>
          <w:rFonts w:ascii="Traditional Arabic" w:hAnsi="Traditional Arabic" w:cs="Traditional Arabic"/>
          <w:sz w:val="32"/>
          <w:szCs w:val="32"/>
          <w:rtl/>
        </w:rPr>
      </w:pPr>
      <w:r>
        <w:rPr>
          <w:rFonts w:ascii="Traditional Arabic" w:hAnsi="Traditional Arabic" w:cs="Traditional Arabic" w:hint="cs"/>
          <w:sz w:val="32"/>
          <w:szCs w:val="32"/>
          <w:rtl/>
        </w:rPr>
        <w:t xml:space="preserve">-الكشف عن </w:t>
      </w:r>
      <w:bookmarkStart w:id="3" w:name="_Hlk209200388"/>
      <w:r>
        <w:rPr>
          <w:rFonts w:ascii="Traditional Arabic" w:hAnsi="Traditional Arabic" w:cs="Traditional Arabic" w:hint="cs"/>
          <w:sz w:val="32"/>
          <w:szCs w:val="32"/>
          <w:rtl/>
        </w:rPr>
        <w:t xml:space="preserve">واقع </w:t>
      </w:r>
      <w:r w:rsidRPr="002E2E3F">
        <w:rPr>
          <w:rFonts w:ascii="Traditional Arabic" w:hAnsi="Traditional Arabic" w:cs="Traditional Arabic"/>
          <w:sz w:val="32"/>
          <w:szCs w:val="32"/>
          <w:rtl/>
        </w:rPr>
        <w:t>التحول الرقمي لنظم المعلومات المحاسبية في البنوك الإسلامية الكويتية، وأبرز التحديات التي تواجه تطبيقها</w:t>
      </w:r>
      <w:r>
        <w:rPr>
          <w:rFonts w:ascii="Traditional Arabic" w:hAnsi="Traditional Arabic" w:cs="Traditional Arabic" w:hint="cs"/>
          <w:sz w:val="32"/>
          <w:szCs w:val="32"/>
          <w:rtl/>
        </w:rPr>
        <w:t>.</w:t>
      </w:r>
    </w:p>
    <w:bookmarkEnd w:id="3"/>
    <w:p w14:paraId="2A5509C0" w14:textId="67D52BD4" w:rsidR="00326DB9"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Pr>
          <w:rFonts w:ascii="Traditional Arabic" w:hAnsi="Traditional Arabic" w:cs="Traditional Arabic" w:hint="cs"/>
          <w:sz w:val="32"/>
          <w:szCs w:val="32"/>
          <w:rtl/>
        </w:rPr>
        <w:t xml:space="preserve">- </w:t>
      </w:r>
      <w:r>
        <w:rPr>
          <w:rFonts w:ascii="Traditional Arabic" w:eastAsia="Times New Roman" w:hAnsi="Traditional Arabic" w:cs="Traditional Arabic" w:hint="cs"/>
          <w:kern w:val="0"/>
          <w:sz w:val="32"/>
          <w:szCs w:val="32"/>
          <w:rtl/>
          <w14:ligatures w14:val="none"/>
        </w:rPr>
        <w:t>اظهار اسهام</w:t>
      </w:r>
      <w:r w:rsidRPr="00BC081E">
        <w:rPr>
          <w:rFonts w:ascii="Traditional Arabic" w:eastAsia="Times New Roman" w:hAnsi="Traditional Arabic" w:cs="Traditional Arabic"/>
          <w:kern w:val="0"/>
          <w:sz w:val="32"/>
          <w:szCs w:val="32"/>
          <w:rtl/>
          <w14:ligatures w14:val="none"/>
        </w:rPr>
        <w:t xml:space="preserve"> نظم المعلومات المحاسبية الإلكترونية، في سياق التحول الرقمي</w:t>
      </w:r>
      <w:r>
        <w:rPr>
          <w:rFonts w:ascii="Traditional Arabic" w:eastAsia="Times New Roman" w:hAnsi="Traditional Arabic" w:cs="Traditional Arabic" w:hint="cs"/>
          <w:kern w:val="0"/>
          <w:sz w:val="32"/>
          <w:szCs w:val="32"/>
          <w:rtl/>
          <w14:ligatures w14:val="none"/>
        </w:rPr>
        <w:t xml:space="preserve"> ل</w:t>
      </w:r>
      <w:r w:rsidRPr="00BC081E">
        <w:rPr>
          <w:rFonts w:ascii="Traditional Arabic" w:eastAsia="Times New Roman" w:hAnsi="Traditional Arabic" w:cs="Traditional Arabic"/>
          <w:kern w:val="0"/>
          <w:sz w:val="32"/>
          <w:szCs w:val="32"/>
          <w:rtl/>
          <w14:ligatures w14:val="none"/>
        </w:rPr>
        <w:t>تعزيز كفاءة ودقة قياس وإدارة المخاطر الائتمانية، وأثر ذلك على عملية اتخاذ القرارات الائتمانية في البنوك الإسلامية الكويتية</w:t>
      </w:r>
      <w:r>
        <w:rPr>
          <w:rFonts w:ascii="Traditional Arabic" w:eastAsia="Times New Roman" w:hAnsi="Traditional Arabic" w:cs="Traditional Arabic" w:hint="cs"/>
          <w:kern w:val="0"/>
          <w:sz w:val="32"/>
          <w:szCs w:val="32"/>
          <w:rtl/>
          <w14:ligatures w14:val="none"/>
        </w:rPr>
        <w:t>.</w:t>
      </w:r>
    </w:p>
    <w:p w14:paraId="77FF4545" w14:textId="77777777" w:rsidR="00E64BC2" w:rsidRDefault="00E64BC2" w:rsidP="00E64BC2">
      <w:pPr>
        <w:bidi/>
        <w:spacing w:after="0" w:line="240" w:lineRule="auto"/>
        <w:jc w:val="lowKashida"/>
        <w:rPr>
          <w:rFonts w:ascii="Traditional Arabic" w:eastAsia="Times New Roman" w:hAnsi="Traditional Arabic" w:cs="Traditional Arabic"/>
          <w:kern w:val="0"/>
          <w:sz w:val="32"/>
          <w:szCs w:val="32"/>
          <w:rtl/>
          <w14:ligatures w14:val="none"/>
        </w:rPr>
      </w:pPr>
    </w:p>
    <w:p w14:paraId="1B63D515" w14:textId="77777777" w:rsidR="00326DB9" w:rsidRPr="001115A7" w:rsidRDefault="00326DB9" w:rsidP="00D132F3">
      <w:pPr>
        <w:bidi/>
        <w:spacing w:after="0" w:line="240" w:lineRule="auto"/>
        <w:jc w:val="lowKashida"/>
        <w:rPr>
          <w:rFonts w:ascii="Times New Roman" w:eastAsia="Times New Roman" w:hAnsi="Times New Roman" w:cs="Times New Roman"/>
          <w:b/>
          <w:bCs/>
          <w:kern w:val="0"/>
          <w14:ligatures w14:val="none"/>
        </w:rPr>
      </w:pPr>
      <w:r w:rsidRPr="001115A7">
        <w:rPr>
          <w:rFonts w:ascii="Times New Roman" w:eastAsia="Times New Roman" w:hAnsi="Times New Roman" w:cs="Times New Roman"/>
          <w:b/>
          <w:bCs/>
          <w:kern w:val="0"/>
          <w:rtl/>
          <w14:ligatures w14:val="none"/>
        </w:rPr>
        <w:t>أهمية البحث</w:t>
      </w:r>
      <w:r w:rsidRPr="001115A7">
        <w:rPr>
          <w:rFonts w:ascii="Times New Roman" w:eastAsia="Times New Roman" w:hAnsi="Times New Roman" w:cs="Times New Roman" w:hint="cs"/>
          <w:b/>
          <w:bCs/>
          <w:kern w:val="0"/>
          <w:rtl/>
          <w14:ligatures w14:val="none"/>
        </w:rPr>
        <w:t>:</w:t>
      </w:r>
    </w:p>
    <w:p w14:paraId="5FF2414C" w14:textId="77777777" w:rsidR="00326DB9" w:rsidRPr="001115A7"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1115A7">
        <w:rPr>
          <w:rFonts w:ascii="Traditional Arabic" w:eastAsia="Times New Roman" w:hAnsi="Traditional Arabic" w:cs="Traditional Arabic"/>
          <w:kern w:val="0"/>
          <w:sz w:val="32"/>
          <w:szCs w:val="32"/>
          <w:rtl/>
          <w14:ligatures w14:val="none"/>
        </w:rPr>
        <w:t>تنبثق أهمية هذا البحث من كونه محاولة علمية جادة لسد الفجوة المعرفية حول دور التقنيات الرقمية في تعزيز استقرار القطاع المصرفي الإسلامي، وتتجلى أهميته في النقاط التالية</w:t>
      </w:r>
      <w:r w:rsidRPr="001115A7">
        <w:rPr>
          <w:rFonts w:ascii="Traditional Arabic" w:eastAsia="Times New Roman" w:hAnsi="Traditional Arabic" w:cs="Traditional Arabic"/>
          <w:kern w:val="0"/>
          <w:sz w:val="32"/>
          <w:szCs w:val="32"/>
          <w14:ligatures w14:val="none"/>
        </w:rPr>
        <w:t>:</w:t>
      </w:r>
    </w:p>
    <w:p w14:paraId="6BBFE310" w14:textId="77777777" w:rsidR="00326DB9" w:rsidRPr="001115A7" w:rsidRDefault="00326DB9" w:rsidP="00D132F3">
      <w:pPr>
        <w:numPr>
          <w:ilvl w:val="0"/>
          <w:numId w:val="44"/>
        </w:numPr>
        <w:bidi/>
        <w:spacing w:after="0" w:line="240" w:lineRule="auto"/>
        <w:jc w:val="lowKashida"/>
        <w:rPr>
          <w:rFonts w:ascii="Traditional Arabic" w:eastAsia="Times New Roman" w:hAnsi="Traditional Arabic" w:cs="Traditional Arabic"/>
          <w:kern w:val="0"/>
          <w:sz w:val="32"/>
          <w:szCs w:val="32"/>
          <w14:ligatures w14:val="none"/>
        </w:rPr>
      </w:pPr>
      <w:r w:rsidRPr="001115A7">
        <w:rPr>
          <w:rFonts w:ascii="Traditional Arabic" w:eastAsia="Times New Roman" w:hAnsi="Traditional Arabic" w:cs="Traditional Arabic"/>
          <w:kern w:val="0"/>
          <w:sz w:val="32"/>
          <w:szCs w:val="32"/>
          <w:rtl/>
          <w14:ligatures w14:val="none"/>
        </w:rPr>
        <w:t>الأهمية الأكاديمية (إثراء المعرفة)</w:t>
      </w:r>
      <w:r w:rsidRPr="001115A7">
        <w:rPr>
          <w:rFonts w:ascii="Traditional Arabic" w:eastAsia="Times New Roman" w:hAnsi="Traditional Arabic" w:cs="Traditional Arabic"/>
          <w:kern w:val="0"/>
          <w:sz w:val="32"/>
          <w:szCs w:val="32"/>
          <w14:ligatures w14:val="none"/>
        </w:rPr>
        <w:t xml:space="preserve">: </w:t>
      </w:r>
      <w:r w:rsidRPr="001115A7">
        <w:rPr>
          <w:rFonts w:ascii="Traditional Arabic" w:eastAsia="Times New Roman" w:hAnsi="Traditional Arabic" w:cs="Traditional Arabic"/>
          <w:kern w:val="0"/>
          <w:sz w:val="32"/>
          <w:szCs w:val="32"/>
          <w:rtl/>
          <w14:ligatures w14:val="none"/>
        </w:rPr>
        <w:t>تقديم إطار نظري ومفاهيمي رصين يربط بين "التحول الرقمي للمحاسبة" و"كفاءة إدارة المخاطر الائتمانية" في بيئة المصرفية الإسلامية، مما يمثل إضافة نوعية للأدبيات العلمية العربية والدولية</w:t>
      </w:r>
      <w:r w:rsidRPr="001115A7">
        <w:rPr>
          <w:rFonts w:ascii="Traditional Arabic" w:eastAsia="Times New Roman" w:hAnsi="Traditional Arabic" w:cs="Traditional Arabic"/>
          <w:kern w:val="0"/>
          <w:sz w:val="32"/>
          <w:szCs w:val="32"/>
          <w14:ligatures w14:val="none"/>
        </w:rPr>
        <w:t>.</w:t>
      </w:r>
    </w:p>
    <w:p w14:paraId="3B76D094" w14:textId="77777777" w:rsidR="00326DB9" w:rsidRPr="001115A7" w:rsidRDefault="00326DB9" w:rsidP="00D132F3">
      <w:pPr>
        <w:numPr>
          <w:ilvl w:val="0"/>
          <w:numId w:val="44"/>
        </w:numPr>
        <w:bidi/>
        <w:spacing w:after="0" w:line="240" w:lineRule="auto"/>
        <w:jc w:val="lowKashida"/>
        <w:rPr>
          <w:rFonts w:ascii="Traditional Arabic" w:eastAsia="Times New Roman" w:hAnsi="Traditional Arabic" w:cs="Traditional Arabic"/>
          <w:kern w:val="0"/>
          <w:sz w:val="32"/>
          <w:szCs w:val="32"/>
          <w14:ligatures w14:val="none"/>
        </w:rPr>
      </w:pPr>
      <w:r w:rsidRPr="001115A7">
        <w:rPr>
          <w:rFonts w:ascii="Traditional Arabic" w:eastAsia="Times New Roman" w:hAnsi="Traditional Arabic" w:cs="Traditional Arabic"/>
          <w:kern w:val="0"/>
          <w:sz w:val="32"/>
          <w:szCs w:val="32"/>
          <w:rtl/>
          <w14:ligatures w14:val="none"/>
        </w:rPr>
        <w:t>الأهمية الاستراتيجية (دعم صناعة القرار)</w:t>
      </w:r>
      <w:r w:rsidRPr="001115A7">
        <w:rPr>
          <w:rFonts w:ascii="Traditional Arabic" w:eastAsia="Times New Roman" w:hAnsi="Traditional Arabic" w:cs="Traditional Arabic"/>
          <w:kern w:val="0"/>
          <w:sz w:val="32"/>
          <w:szCs w:val="32"/>
          <w14:ligatures w14:val="none"/>
        </w:rPr>
        <w:t xml:space="preserve">: </w:t>
      </w:r>
      <w:r w:rsidRPr="001115A7">
        <w:rPr>
          <w:rFonts w:ascii="Traditional Arabic" w:eastAsia="Times New Roman" w:hAnsi="Traditional Arabic" w:cs="Traditional Arabic"/>
          <w:kern w:val="0"/>
          <w:sz w:val="32"/>
          <w:szCs w:val="32"/>
          <w:rtl/>
          <w14:ligatures w14:val="none"/>
        </w:rPr>
        <w:t>توجيه القيادات المصرفية في البنوك الإسلامية الكويتية نحو الاستثمار الأمثل في البنية التحتية التكنولوجية (كالذكاء الاصطناعي والبيانات الضخمة) لرفع جودة وكفاءة القرارات الائتمانية</w:t>
      </w:r>
      <w:r w:rsidRPr="001115A7">
        <w:rPr>
          <w:rFonts w:ascii="Traditional Arabic" w:eastAsia="Times New Roman" w:hAnsi="Traditional Arabic" w:cs="Traditional Arabic"/>
          <w:kern w:val="0"/>
          <w:sz w:val="32"/>
          <w:szCs w:val="32"/>
          <w14:ligatures w14:val="none"/>
        </w:rPr>
        <w:t>.</w:t>
      </w:r>
    </w:p>
    <w:p w14:paraId="582C89AB" w14:textId="77777777" w:rsidR="00326DB9" w:rsidRPr="001115A7" w:rsidRDefault="00326DB9" w:rsidP="00D132F3">
      <w:pPr>
        <w:numPr>
          <w:ilvl w:val="0"/>
          <w:numId w:val="44"/>
        </w:numPr>
        <w:bidi/>
        <w:spacing w:after="0" w:line="240" w:lineRule="auto"/>
        <w:jc w:val="lowKashida"/>
        <w:rPr>
          <w:rFonts w:ascii="Traditional Arabic" w:eastAsia="Times New Roman" w:hAnsi="Traditional Arabic" w:cs="Traditional Arabic"/>
          <w:kern w:val="0"/>
          <w:sz w:val="32"/>
          <w:szCs w:val="32"/>
          <w14:ligatures w14:val="none"/>
        </w:rPr>
      </w:pPr>
      <w:r w:rsidRPr="001115A7">
        <w:rPr>
          <w:rFonts w:ascii="Traditional Arabic" w:eastAsia="Times New Roman" w:hAnsi="Traditional Arabic" w:cs="Traditional Arabic"/>
          <w:kern w:val="0"/>
          <w:sz w:val="32"/>
          <w:szCs w:val="32"/>
          <w:rtl/>
          <w14:ligatures w14:val="none"/>
        </w:rPr>
        <w:lastRenderedPageBreak/>
        <w:t>الأهمية الاقتصادية (الاستقرار المالي)</w:t>
      </w:r>
      <w:r w:rsidRPr="001115A7">
        <w:rPr>
          <w:rFonts w:ascii="Traditional Arabic" w:eastAsia="Times New Roman" w:hAnsi="Traditional Arabic" w:cs="Traditional Arabic"/>
          <w:kern w:val="0"/>
          <w:sz w:val="32"/>
          <w:szCs w:val="32"/>
          <w14:ligatures w14:val="none"/>
        </w:rPr>
        <w:t xml:space="preserve">: </w:t>
      </w:r>
      <w:r w:rsidRPr="001115A7">
        <w:rPr>
          <w:rFonts w:ascii="Traditional Arabic" w:eastAsia="Times New Roman" w:hAnsi="Traditional Arabic" w:cs="Traditional Arabic"/>
          <w:kern w:val="0"/>
          <w:sz w:val="32"/>
          <w:szCs w:val="32"/>
          <w:rtl/>
          <w14:ligatures w14:val="none"/>
        </w:rPr>
        <w:t>المساهمة في تحصين المراكز المالية للبنوك عبر تحسين دقة نماذج قياس المخاطر والحد من التعثر، بما يضمن استدامة القطاع المصرفي وتعزيز ثقة المستثمرين والمودعين</w:t>
      </w:r>
      <w:r w:rsidRPr="001115A7">
        <w:rPr>
          <w:rFonts w:ascii="Traditional Arabic" w:eastAsia="Times New Roman" w:hAnsi="Traditional Arabic" w:cs="Traditional Arabic"/>
          <w:kern w:val="0"/>
          <w:sz w:val="32"/>
          <w:szCs w:val="32"/>
          <w14:ligatures w14:val="none"/>
        </w:rPr>
        <w:t>.</w:t>
      </w:r>
    </w:p>
    <w:p w14:paraId="3FAA3F09" w14:textId="77777777" w:rsidR="00326DB9" w:rsidRPr="001115A7" w:rsidRDefault="00326DB9" w:rsidP="00D132F3">
      <w:pPr>
        <w:numPr>
          <w:ilvl w:val="0"/>
          <w:numId w:val="44"/>
        </w:numPr>
        <w:bidi/>
        <w:spacing w:after="0" w:line="240" w:lineRule="auto"/>
        <w:jc w:val="lowKashida"/>
        <w:rPr>
          <w:rFonts w:ascii="Traditional Arabic" w:eastAsia="Times New Roman" w:hAnsi="Traditional Arabic" w:cs="Traditional Arabic"/>
          <w:kern w:val="0"/>
          <w:sz w:val="32"/>
          <w:szCs w:val="32"/>
          <w14:ligatures w14:val="none"/>
        </w:rPr>
      </w:pPr>
      <w:r w:rsidRPr="001115A7">
        <w:rPr>
          <w:rFonts w:ascii="Traditional Arabic" w:eastAsia="Times New Roman" w:hAnsi="Traditional Arabic" w:cs="Traditional Arabic"/>
          <w:kern w:val="0"/>
          <w:sz w:val="32"/>
          <w:szCs w:val="32"/>
          <w:rtl/>
          <w14:ligatures w14:val="none"/>
        </w:rPr>
        <w:t>الأهمية التنظيمية (تطوير السياسات)</w:t>
      </w:r>
      <w:r w:rsidRPr="001115A7">
        <w:rPr>
          <w:rFonts w:ascii="Traditional Arabic" w:eastAsia="Times New Roman" w:hAnsi="Traditional Arabic" w:cs="Traditional Arabic"/>
          <w:kern w:val="0"/>
          <w:sz w:val="32"/>
          <w:szCs w:val="32"/>
          <w14:ligatures w14:val="none"/>
        </w:rPr>
        <w:t xml:space="preserve">: </w:t>
      </w:r>
      <w:r w:rsidRPr="001115A7">
        <w:rPr>
          <w:rFonts w:ascii="Traditional Arabic" w:eastAsia="Times New Roman" w:hAnsi="Traditional Arabic" w:cs="Traditional Arabic"/>
          <w:kern w:val="0"/>
          <w:sz w:val="32"/>
          <w:szCs w:val="32"/>
          <w:rtl/>
          <w14:ligatures w14:val="none"/>
        </w:rPr>
        <w:t>تزويد الجهات الرقابية (كبنك الكويت المركزي) برؤى واقعية حول التحديات التقنية والتشريعية، مما يساعد في صياغة معايير رقابية حديثة تواكب عصر "الرقمنة المالية" وتدعم الامتثال للمعايير الدولية</w:t>
      </w:r>
      <w:r w:rsidRPr="001115A7">
        <w:rPr>
          <w:rFonts w:ascii="Traditional Arabic" w:eastAsia="Times New Roman" w:hAnsi="Traditional Arabic" w:cs="Traditional Arabic"/>
          <w:kern w:val="0"/>
          <w:sz w:val="32"/>
          <w:szCs w:val="32"/>
          <w14:ligatures w14:val="none"/>
        </w:rPr>
        <w:t>.</w:t>
      </w:r>
    </w:p>
    <w:p w14:paraId="014114EA" w14:textId="17115F6E" w:rsidR="00326DB9" w:rsidRDefault="00326DB9" w:rsidP="00D132F3">
      <w:pPr>
        <w:numPr>
          <w:ilvl w:val="0"/>
          <w:numId w:val="44"/>
        </w:numPr>
        <w:bidi/>
        <w:spacing w:after="0" w:line="240" w:lineRule="auto"/>
        <w:jc w:val="lowKashida"/>
        <w:rPr>
          <w:rFonts w:ascii="Traditional Arabic" w:eastAsia="Times New Roman" w:hAnsi="Traditional Arabic" w:cs="Traditional Arabic"/>
          <w:kern w:val="0"/>
          <w:sz w:val="32"/>
          <w:szCs w:val="32"/>
          <w14:ligatures w14:val="none"/>
        </w:rPr>
      </w:pPr>
      <w:r w:rsidRPr="001115A7">
        <w:rPr>
          <w:rFonts w:ascii="Traditional Arabic" w:eastAsia="Times New Roman" w:hAnsi="Traditional Arabic" w:cs="Traditional Arabic"/>
          <w:kern w:val="0"/>
          <w:sz w:val="32"/>
          <w:szCs w:val="32"/>
          <w:rtl/>
          <w14:ligatures w14:val="none"/>
        </w:rPr>
        <w:t>الأهمية التطبيقية (الحلول المستدامة)</w:t>
      </w:r>
      <w:r w:rsidRPr="001115A7">
        <w:rPr>
          <w:rFonts w:ascii="Traditional Arabic" w:eastAsia="Times New Roman" w:hAnsi="Traditional Arabic" w:cs="Traditional Arabic"/>
          <w:kern w:val="0"/>
          <w:sz w:val="32"/>
          <w:szCs w:val="32"/>
          <w14:ligatures w14:val="none"/>
        </w:rPr>
        <w:t xml:space="preserve">: </w:t>
      </w:r>
      <w:r w:rsidRPr="001115A7">
        <w:rPr>
          <w:rFonts w:ascii="Traditional Arabic" w:eastAsia="Times New Roman" w:hAnsi="Traditional Arabic" w:cs="Traditional Arabic"/>
          <w:kern w:val="0"/>
          <w:sz w:val="32"/>
          <w:szCs w:val="32"/>
          <w:rtl/>
          <w14:ligatures w14:val="none"/>
        </w:rPr>
        <w:t>تشخيص المعوقات الفعلية (التقنية والبشرية) التي تواجه عملية التحول الرقمي وتقديم حلول عملية ومبتكرة تضمن كفاءة الانتقال الرقمي دون المساس بالمبادئ والأحكام الشرعية</w:t>
      </w:r>
      <w:r w:rsidRPr="001115A7">
        <w:rPr>
          <w:rFonts w:ascii="Traditional Arabic" w:eastAsia="Times New Roman" w:hAnsi="Traditional Arabic" w:cs="Traditional Arabic"/>
          <w:kern w:val="0"/>
          <w:sz w:val="32"/>
          <w:szCs w:val="32"/>
          <w14:ligatures w14:val="none"/>
        </w:rPr>
        <w:t>.</w:t>
      </w:r>
    </w:p>
    <w:p w14:paraId="1086C014" w14:textId="77777777" w:rsidR="00E64BC2" w:rsidRPr="00326DB9" w:rsidRDefault="00E64BC2" w:rsidP="00D67015">
      <w:pPr>
        <w:bidi/>
        <w:spacing w:after="0" w:line="240" w:lineRule="auto"/>
        <w:ind w:left="360"/>
        <w:jc w:val="lowKashida"/>
        <w:rPr>
          <w:rFonts w:ascii="Traditional Arabic" w:eastAsia="Times New Roman" w:hAnsi="Traditional Arabic" w:cs="Traditional Arabic"/>
          <w:kern w:val="0"/>
          <w:sz w:val="32"/>
          <w:szCs w:val="32"/>
          <w14:ligatures w14:val="none"/>
        </w:rPr>
      </w:pPr>
    </w:p>
    <w:p w14:paraId="38CC03EA" w14:textId="77777777" w:rsidR="00326DB9" w:rsidRPr="00326DB9" w:rsidRDefault="00326DB9" w:rsidP="00D132F3">
      <w:pPr>
        <w:bidi/>
        <w:spacing w:after="0" w:line="240" w:lineRule="auto"/>
        <w:jc w:val="lowKashida"/>
        <w:rPr>
          <w:rFonts w:ascii="Traditional Arabic" w:hAnsi="Traditional Arabic" w:cs="Traditional Arabic"/>
          <w:sz w:val="32"/>
          <w:szCs w:val="32"/>
          <w:rtl/>
        </w:rPr>
      </w:pPr>
      <w:r w:rsidRPr="00326DB9">
        <w:rPr>
          <w:rFonts w:ascii="Traditional Arabic" w:hAnsi="Traditional Arabic" w:cs="Traditional Arabic" w:hint="cs"/>
          <w:b/>
          <w:bCs/>
          <w:sz w:val="32"/>
          <w:szCs w:val="32"/>
          <w:rtl/>
        </w:rPr>
        <w:t>الدراسات السابقة</w:t>
      </w:r>
      <w:r w:rsidRPr="00326DB9">
        <w:rPr>
          <w:rFonts w:ascii="Traditional Arabic" w:hAnsi="Traditional Arabic" w:cs="Traditional Arabic" w:hint="cs"/>
          <w:sz w:val="32"/>
          <w:szCs w:val="32"/>
          <w:rtl/>
        </w:rPr>
        <w:t>:</w:t>
      </w:r>
    </w:p>
    <w:p w14:paraId="05BEF69D" w14:textId="1C836CD3" w:rsidR="00326DB9" w:rsidRDefault="00326DB9" w:rsidP="0048758C">
      <w:pPr>
        <w:pStyle w:val="ListParagraph"/>
        <w:bidi/>
        <w:spacing w:after="0" w:line="240" w:lineRule="auto"/>
        <w:ind w:left="4"/>
        <w:jc w:val="lowKashida"/>
        <w:rPr>
          <w:rFonts w:ascii="Traditional Arabic" w:hAnsi="Traditional Arabic" w:cs="Traditional Arabic"/>
          <w:sz w:val="32"/>
          <w:szCs w:val="32"/>
        </w:rPr>
      </w:pPr>
      <w:r w:rsidRPr="00326DB9">
        <w:rPr>
          <w:rFonts w:ascii="Traditional Arabic" w:hAnsi="Traditional Arabic" w:cs="Traditional Arabic" w:hint="cs"/>
          <w:sz w:val="32"/>
          <w:szCs w:val="32"/>
          <w:rtl/>
        </w:rPr>
        <w:t xml:space="preserve"> </w:t>
      </w:r>
      <w:r w:rsidRPr="00326DB9">
        <w:rPr>
          <w:rFonts w:ascii="Traditional Arabic" w:hAnsi="Traditional Arabic" w:cs="Traditional Arabic"/>
          <w:sz w:val="32"/>
          <w:szCs w:val="32"/>
          <w:rtl/>
        </w:rPr>
        <w:t xml:space="preserve">دراسة </w:t>
      </w:r>
      <w:r w:rsidRPr="00326DB9">
        <w:rPr>
          <w:rFonts w:asciiTheme="majorBidi" w:hAnsiTheme="majorBidi" w:cs="Times New Roman"/>
          <w:rtl/>
        </w:rPr>
        <w:t>(</w:t>
      </w:r>
      <w:r w:rsidRPr="003C1CA5">
        <w:rPr>
          <w:rFonts w:ascii="Garamond" w:hAnsi="Garamond" w:cstheme="majorBidi"/>
        </w:rPr>
        <w:t>Al-Jabri et al., 2020</w:t>
      </w:r>
      <w:r w:rsidRPr="00326DB9">
        <w:rPr>
          <w:rFonts w:asciiTheme="majorBidi" w:hAnsiTheme="majorBidi" w:cs="Times New Roman"/>
          <w:rtl/>
        </w:rPr>
        <w:t>)</w:t>
      </w:r>
      <w:r w:rsidRPr="00326DB9">
        <w:rPr>
          <w:rFonts w:asciiTheme="majorBidi" w:hAnsiTheme="majorBidi" w:cs="Times New Roman" w:hint="cs"/>
          <w:rtl/>
        </w:rPr>
        <w:t xml:space="preserve"> </w:t>
      </w:r>
      <w:r w:rsidRPr="00326DB9">
        <w:rPr>
          <w:rFonts w:ascii="Traditional Arabic" w:hAnsi="Traditional Arabic" w:cs="Traditional Arabic"/>
          <w:sz w:val="32"/>
          <w:szCs w:val="32"/>
          <w:rtl/>
        </w:rPr>
        <w:t>هدفت هذه الدراسة إلى تقييم أثر التحول الرقمي على أداء نظم المعلومات المحاسبية في القطاع المصرفي، من خلال اختبار فرضية أن التقنيات المتقدمة تؤدي لإعادة هيكلة العمليات المحاسبية. وباستخدام المنهج الكمي عبر استبيان ميداني، توصلت النتائج إلى أن التحول الرقمي ساهم بشكل فعال في تحسين دقة وموثوقية وتوقيت المعلومات المالية، كما عزز الكفاءة التشغيلية من خلال أتمتة المهام وتقليل التدخل اليدوي، مما أدى في النهاية إلى تطوير القدرة التحليلية للإدارة ودعم اتخاذ القرارات الاستراتيجية</w:t>
      </w:r>
      <w:r w:rsidRPr="00326DB9">
        <w:rPr>
          <w:rFonts w:ascii="Traditional Arabic" w:hAnsi="Traditional Arabic" w:cs="Traditional Arabic"/>
          <w:sz w:val="32"/>
          <w:szCs w:val="32"/>
        </w:rPr>
        <w:t>.</w:t>
      </w:r>
    </w:p>
    <w:p w14:paraId="78F29EE9" w14:textId="77777777" w:rsidR="00E64BC2" w:rsidRPr="00326DB9" w:rsidRDefault="00E64BC2" w:rsidP="00E64BC2">
      <w:pPr>
        <w:pStyle w:val="ListParagraph"/>
        <w:bidi/>
        <w:spacing w:after="0" w:line="240" w:lineRule="auto"/>
        <w:ind w:left="4"/>
        <w:jc w:val="lowKashida"/>
        <w:rPr>
          <w:rFonts w:ascii="Traditional Arabic" w:hAnsi="Traditional Arabic" w:cs="Traditional Arabic"/>
          <w:sz w:val="32"/>
          <w:szCs w:val="32"/>
        </w:rPr>
      </w:pPr>
    </w:p>
    <w:p w14:paraId="0A07925F" w14:textId="13972378" w:rsidR="00326DB9" w:rsidRDefault="00326DB9" w:rsidP="00D132F3">
      <w:pPr>
        <w:bidi/>
        <w:spacing w:after="0" w:line="240" w:lineRule="auto"/>
        <w:jc w:val="lowKashida"/>
        <w:rPr>
          <w:rFonts w:ascii="Traditional Arabic" w:hAnsi="Traditional Arabic" w:cs="Traditional Arabic"/>
          <w:sz w:val="32"/>
          <w:szCs w:val="32"/>
        </w:rPr>
      </w:pPr>
      <w:r>
        <w:rPr>
          <w:rFonts w:ascii="Traditional Arabic" w:hAnsi="Traditional Arabic" w:cs="Traditional Arabic" w:hint="cs"/>
          <w:sz w:val="32"/>
          <w:szCs w:val="32"/>
          <w:rtl/>
        </w:rPr>
        <w:t>-</w:t>
      </w:r>
      <w:r w:rsidRPr="00326DB9">
        <w:rPr>
          <w:rFonts w:ascii="Traditional Arabic" w:hAnsi="Traditional Arabic" w:cs="Traditional Arabic" w:hint="cs"/>
          <w:sz w:val="32"/>
          <w:szCs w:val="32"/>
          <w:rtl/>
        </w:rPr>
        <w:t>دراسة (</w:t>
      </w:r>
      <w:r w:rsidRPr="00326DB9">
        <w:rPr>
          <w:rFonts w:asciiTheme="majorBidi" w:hAnsiTheme="majorBidi" w:cstheme="majorBidi"/>
          <w:rtl/>
        </w:rPr>
        <w:t xml:space="preserve">2018) </w:t>
      </w:r>
      <w:r w:rsidRPr="00326DB9">
        <w:rPr>
          <w:rFonts w:asciiTheme="majorBidi" w:hAnsiTheme="majorBidi" w:cstheme="majorBidi"/>
        </w:rPr>
        <w:t xml:space="preserve">Hassan </w:t>
      </w:r>
      <w:r w:rsidR="003C1CA5">
        <w:rPr>
          <w:rFonts w:asciiTheme="majorBidi" w:hAnsiTheme="majorBidi" w:cstheme="majorBidi"/>
        </w:rPr>
        <w:t>&amp;</w:t>
      </w:r>
      <w:r w:rsidRPr="00326DB9">
        <w:rPr>
          <w:rFonts w:asciiTheme="majorBidi" w:hAnsiTheme="majorBidi" w:cstheme="majorBidi"/>
        </w:rPr>
        <w:t xml:space="preserve"> Bashir</w:t>
      </w:r>
      <w:r w:rsidRPr="00326DB9">
        <w:rPr>
          <w:rFonts w:ascii="Traditional Arabic" w:hAnsi="Traditional Arabic" w:cs="Traditional Arabic" w:hint="cs"/>
          <w:sz w:val="32"/>
          <w:szCs w:val="32"/>
          <w:rtl/>
        </w:rPr>
        <w:t>) ركزت</w:t>
      </w:r>
      <w:r w:rsidRPr="00326DB9">
        <w:rPr>
          <w:rFonts w:ascii="Traditional Arabic" w:hAnsi="Traditional Arabic" w:cs="Traditional Arabic"/>
          <w:sz w:val="32"/>
          <w:szCs w:val="32"/>
          <w:rtl/>
        </w:rPr>
        <w:t xml:space="preserve"> هذه الدراسة على تحليل ممارسات إدارة المخاطر الائتمانية في البنوك الإسلامية بدول مجلس التعاون الخليجي، بالنظر إلى الخصوصية الشرعية لهذه المؤسسات. ومن خلال اعتماد المنهج النوعي ودراسة الحالة، خلصت الدراسة إلى أن البنوك الإسلامية تولي أولوية قصوى للامتثال الشرعي في إدارة المخاطر، مع وجود تحديات فريدة في تقييم المخاطر المرتبطة بصيغ التمويل الإسلامي (مثل المشاركة والمرابحة)، وأكدت النتائج على الدور الجوهري لأطر الحوكمة القوية وأنظمة الرقابة ولجان الإشراف الشرعي في ضمان استقرار وربحية هذه البنوك</w:t>
      </w:r>
      <w:r w:rsidRPr="00326DB9">
        <w:rPr>
          <w:rFonts w:ascii="Traditional Arabic" w:hAnsi="Traditional Arabic" w:cs="Traditional Arabic"/>
          <w:sz w:val="32"/>
          <w:szCs w:val="32"/>
        </w:rPr>
        <w:t>.</w:t>
      </w:r>
    </w:p>
    <w:p w14:paraId="347C1C2B" w14:textId="77777777" w:rsidR="00151423" w:rsidRPr="00326DB9" w:rsidRDefault="00151423" w:rsidP="00151423">
      <w:pPr>
        <w:bidi/>
        <w:spacing w:after="0" w:line="240" w:lineRule="auto"/>
        <w:jc w:val="lowKashida"/>
        <w:rPr>
          <w:rFonts w:ascii="Traditional Arabic" w:hAnsi="Traditional Arabic" w:cs="Traditional Arabic"/>
          <w:sz w:val="32"/>
          <w:szCs w:val="32"/>
        </w:rPr>
      </w:pPr>
    </w:p>
    <w:p w14:paraId="5F86F5DD" w14:textId="28387BF3" w:rsidR="00326DB9" w:rsidRDefault="00326DB9" w:rsidP="00D132F3">
      <w:pPr>
        <w:bidi/>
        <w:spacing w:after="0" w:line="240" w:lineRule="auto"/>
        <w:jc w:val="lowKashida"/>
        <w:rPr>
          <w:rFonts w:ascii="Traditional Arabic" w:hAnsi="Traditional Arabic" w:cs="Traditional Arabic"/>
          <w:sz w:val="32"/>
          <w:szCs w:val="32"/>
        </w:rPr>
      </w:pPr>
      <w:r>
        <w:rPr>
          <w:rFonts w:ascii="Traditional Arabic" w:hAnsi="Traditional Arabic" w:cs="Traditional Arabic" w:hint="cs"/>
          <w:sz w:val="32"/>
          <w:szCs w:val="32"/>
          <w:rtl/>
        </w:rPr>
        <w:t>-</w:t>
      </w:r>
      <w:r w:rsidRPr="00326DB9">
        <w:rPr>
          <w:rFonts w:ascii="Traditional Arabic" w:hAnsi="Traditional Arabic" w:cs="Traditional Arabic"/>
          <w:sz w:val="32"/>
          <w:szCs w:val="32"/>
          <w:rtl/>
        </w:rPr>
        <w:t>دراسة (</w:t>
      </w:r>
      <w:r w:rsidRPr="00326DB9">
        <w:rPr>
          <w:rFonts w:asciiTheme="majorBidi" w:hAnsiTheme="majorBidi" w:cstheme="majorBidi"/>
        </w:rPr>
        <w:t>Qasemi &amp; Hajiha, 2019</w:t>
      </w:r>
      <w:r w:rsidRPr="00326DB9">
        <w:rPr>
          <w:rFonts w:ascii="Traditional Arabic" w:hAnsi="Traditional Arabic" w:cs="Traditional Arabic" w:hint="cs"/>
          <w:sz w:val="32"/>
          <w:szCs w:val="32"/>
          <w:rtl/>
        </w:rPr>
        <w:t>) استهدف</w:t>
      </w:r>
      <w:r w:rsidRPr="00326DB9">
        <w:rPr>
          <w:rFonts w:ascii="Traditional Arabic" w:hAnsi="Traditional Arabic" w:cs="Traditional Arabic" w:hint="eastAsia"/>
          <w:sz w:val="32"/>
          <w:szCs w:val="32"/>
          <w:rtl/>
        </w:rPr>
        <w:t>ت</w:t>
      </w:r>
      <w:r w:rsidRPr="00326DB9">
        <w:rPr>
          <w:rFonts w:ascii="Traditional Arabic" w:hAnsi="Traditional Arabic" w:cs="Traditional Arabic"/>
          <w:sz w:val="32"/>
          <w:szCs w:val="32"/>
          <w:rtl/>
        </w:rPr>
        <w:t xml:space="preserve"> الدراسة استكشاف دور تحليلات البيانات الضخمة</w:t>
      </w:r>
      <w:r w:rsidRPr="00326DB9">
        <w:rPr>
          <w:rFonts w:ascii="Traditional Arabic" w:hAnsi="Traditional Arabic" w:cs="Traditional Arabic"/>
          <w:sz w:val="32"/>
          <w:szCs w:val="32"/>
        </w:rPr>
        <w:t xml:space="preserve"> (</w:t>
      </w:r>
      <w:r w:rsidRPr="00326DB9">
        <w:rPr>
          <w:rFonts w:ascii="Traditional Arabic" w:hAnsi="Traditional Arabic" w:cs="Traditional Arabic"/>
          <w:sz w:val="32"/>
          <w:szCs w:val="32"/>
          <w:rtl/>
        </w:rPr>
        <w:t>في تعزيز فعالية إدارة المخاطر الائتمانية داخل المؤسسات المالية لمواجهة تعقيدات السوق. وبينت الدراسة، من خلال تحليل النماذج القائمة، أن الاعتماد على مصادر بيانات متنوعة وغير تقليدية يساهم في رفع دقة التقييم الائتماني للمقترضين، كما كشفت النتائج عن قدرة التحليلات المتقدمة على التنبؤ المبكر بأنماط المخاطر وتحديد التركزات الائتمانية، مما يسمح باتخاذ إجراءات وقائية ديناميكية تقلل من الخسائر المحتملة وتدعم كفاءة المراقبة المستمرة للمحافظ</w:t>
      </w:r>
      <w:r w:rsidRPr="00326DB9">
        <w:rPr>
          <w:rFonts w:ascii="Traditional Arabic" w:hAnsi="Traditional Arabic" w:cs="Traditional Arabic"/>
          <w:sz w:val="32"/>
          <w:szCs w:val="32"/>
        </w:rPr>
        <w:t>.</w:t>
      </w:r>
    </w:p>
    <w:p w14:paraId="0C702972" w14:textId="77777777" w:rsidR="00E64BC2" w:rsidRPr="00326DB9" w:rsidRDefault="00E64BC2" w:rsidP="00E64BC2">
      <w:pPr>
        <w:bidi/>
        <w:spacing w:after="0" w:line="240" w:lineRule="auto"/>
        <w:jc w:val="lowKashida"/>
        <w:rPr>
          <w:rFonts w:ascii="Traditional Arabic" w:hAnsi="Traditional Arabic" w:cs="Traditional Arabic"/>
          <w:sz w:val="32"/>
          <w:szCs w:val="32"/>
        </w:rPr>
      </w:pPr>
    </w:p>
    <w:p w14:paraId="579317B2" w14:textId="29778C2E" w:rsidR="00326DB9" w:rsidRDefault="00326DB9" w:rsidP="00D132F3">
      <w:pPr>
        <w:bidi/>
        <w:spacing w:after="0" w:line="240" w:lineRule="auto"/>
        <w:jc w:val="lowKashida"/>
        <w:rPr>
          <w:rFonts w:ascii="Traditional Arabic" w:hAnsi="Traditional Arabic" w:cs="Traditional Arabic"/>
          <w:sz w:val="32"/>
          <w:szCs w:val="32"/>
        </w:rPr>
      </w:pPr>
      <w:r w:rsidRPr="00326DB9">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r w:rsidRPr="00326DB9">
        <w:rPr>
          <w:rFonts w:ascii="Traditional Arabic" w:hAnsi="Traditional Arabic" w:cs="Traditional Arabic"/>
          <w:sz w:val="32"/>
          <w:szCs w:val="32"/>
          <w:rtl/>
        </w:rPr>
        <w:t xml:space="preserve">دراسة </w:t>
      </w:r>
      <w:r w:rsidRPr="00326DB9">
        <w:rPr>
          <w:rFonts w:ascii="Traditional Arabic" w:hAnsi="Traditional Arabic" w:cs="Traditional Arabic" w:hint="cs"/>
          <w:sz w:val="32"/>
          <w:szCs w:val="32"/>
          <w:rtl/>
        </w:rPr>
        <w:t>(</w:t>
      </w:r>
      <w:r w:rsidRPr="00326DB9">
        <w:rPr>
          <w:rFonts w:asciiTheme="majorBidi" w:hAnsiTheme="majorBidi" w:cstheme="majorBidi"/>
        </w:rPr>
        <w:t>Al-Sharhan &amp; Al-Marri, 2021</w:t>
      </w:r>
      <w:r w:rsidRPr="00326DB9">
        <w:rPr>
          <w:rFonts w:ascii="Traditional Arabic" w:hAnsi="Traditional Arabic" w:cs="Traditional Arabic" w:hint="cs"/>
          <w:sz w:val="32"/>
          <w:szCs w:val="32"/>
          <w:rtl/>
        </w:rPr>
        <w:t>) بحث</w:t>
      </w:r>
      <w:r w:rsidRPr="00326DB9">
        <w:rPr>
          <w:rFonts w:ascii="Traditional Arabic" w:hAnsi="Traditional Arabic" w:cs="Traditional Arabic" w:hint="eastAsia"/>
          <w:sz w:val="32"/>
          <w:szCs w:val="32"/>
          <w:rtl/>
        </w:rPr>
        <w:t>ت</w:t>
      </w:r>
      <w:r w:rsidRPr="00326DB9">
        <w:rPr>
          <w:rFonts w:ascii="Traditional Arabic" w:hAnsi="Traditional Arabic" w:cs="Traditional Arabic"/>
          <w:sz w:val="32"/>
          <w:szCs w:val="32"/>
          <w:rtl/>
        </w:rPr>
        <w:t xml:space="preserve"> هذه الدراسة في فرص وتحديات التحول الرقمي داخل البنوك الكويتية لتعزيز قدرتها التنافسية وتلبية تطلعات العملاء. وباستخدام المنهج الوصفي الكمي عبر استبانة موجهة للموظفين والمديرين، أظهرت النتائج وجود تبنٍ متزايد للتقنيات الرقمية والمنصات الإلكترونية، مما خلق فرصاً واسعة لتحسين تجربة العملاء وابتكار نماذج أعمال جديدة وتعزيز الكفاءة التشغيلية، كما شددت الدراسة على أهمية معالجة العقبات التنظيمية والتقنية التي تواجه القطاع المصرفي الكويتي للاستفادة الكاملة من التحولات الرقمية العالمية</w:t>
      </w:r>
      <w:r w:rsidRPr="00326DB9">
        <w:rPr>
          <w:rFonts w:ascii="Traditional Arabic" w:hAnsi="Traditional Arabic" w:cs="Traditional Arabic"/>
          <w:sz w:val="32"/>
          <w:szCs w:val="32"/>
        </w:rPr>
        <w:t>.</w:t>
      </w:r>
    </w:p>
    <w:p w14:paraId="0B72E514" w14:textId="77777777" w:rsidR="00E64BC2" w:rsidRPr="00326DB9" w:rsidRDefault="00E64BC2" w:rsidP="00E64BC2">
      <w:pPr>
        <w:bidi/>
        <w:spacing w:after="0" w:line="240" w:lineRule="auto"/>
        <w:jc w:val="lowKashida"/>
        <w:rPr>
          <w:rFonts w:ascii="Traditional Arabic" w:hAnsi="Traditional Arabic" w:cs="Traditional Arabic"/>
          <w:sz w:val="32"/>
          <w:szCs w:val="32"/>
        </w:rPr>
      </w:pPr>
    </w:p>
    <w:p w14:paraId="4100DD88" w14:textId="51CAF101" w:rsidR="00BC44D8" w:rsidRDefault="007B65BF" w:rsidP="00D132F3">
      <w:pPr>
        <w:bidi/>
        <w:spacing w:after="0" w:line="240" w:lineRule="auto"/>
        <w:jc w:val="lowKashida"/>
        <w:rPr>
          <w:rFonts w:ascii="Traditional Arabic" w:hAnsi="Traditional Arabic" w:cs="Traditional Arabic"/>
          <w:sz w:val="32"/>
          <w:szCs w:val="32"/>
          <w:rtl/>
        </w:rPr>
      </w:pPr>
      <w:r>
        <w:rPr>
          <w:rFonts w:ascii="Traditional Arabic" w:hAnsi="Traditional Arabic" w:cs="Traditional Arabic"/>
          <w:sz w:val="32"/>
          <w:szCs w:val="32"/>
          <w:rtl/>
        </w:rPr>
        <w:t>-دراسة (</w:t>
      </w:r>
      <w:r>
        <w:rPr>
          <w:rFonts w:asciiTheme="majorBidi" w:hAnsiTheme="majorBidi" w:cstheme="majorBidi"/>
        </w:rPr>
        <w:t>Bawana et al., 2025</w:t>
      </w:r>
      <w:r>
        <w:rPr>
          <w:rFonts w:ascii="Traditional Arabic" w:hAnsi="Traditional Arabic" w:cs="Traditional Arabic"/>
          <w:sz w:val="32"/>
          <w:szCs w:val="32"/>
          <w:rtl/>
        </w:rPr>
        <w:t>) تناولت آفاق التكامل المصرفي الإسلامي في دول رابطة جنوب شرق آسيا، من خلال مراجعة منهجية شملت 39 مقالة من دوريات مفهرسة في قاعدتي بيانات سكوبس وويب أوف ساينس، وتحليل موضوعي للتحديات والفرص المرتبطة بهذا التكامل. وأكدت الدراسة أهمية الأطر التنظيمية القوية والمتناغمة وتوحيد الممارسات، ولا سيما ما يتعلق بالامتثال الشرعي، مع إبراز دور التعاون الثنائي في دعم التكامل المصرفي عبر الحدود. وتفيد هذه الدراسة البحث الحالي في تأصيل البعد التنظيمي والشرعي المصاحب لتطوير العمل المصرفي الإسلامي؛ غير أن نطاقها الإقليمي وموضوعها يختلفان عن قياس أثر التحول الرقمي لنظم المعلومات المحاسبية في إدارة المخاطر الائتمانية بالبنوك الإسلامية الكويتية.</w:t>
      </w:r>
    </w:p>
    <w:p w14:paraId="718C8ACD" w14:textId="77777777" w:rsidR="00E64BC2" w:rsidRDefault="00E64BC2" w:rsidP="00E64BC2">
      <w:pPr>
        <w:bidi/>
        <w:spacing w:after="0" w:line="240" w:lineRule="auto"/>
        <w:jc w:val="lowKashida"/>
        <w:rPr>
          <w:rFonts w:ascii="Traditional Arabic" w:hAnsi="Traditional Arabic" w:cs="Traditional Arabic"/>
          <w:sz w:val="32"/>
          <w:szCs w:val="32"/>
        </w:rPr>
      </w:pPr>
    </w:p>
    <w:p w14:paraId="593F8A63" w14:textId="37B5D9B4" w:rsidR="00BC44D8" w:rsidRDefault="007B65BF" w:rsidP="00D132F3">
      <w:pPr>
        <w:bidi/>
        <w:spacing w:after="0" w:line="240" w:lineRule="auto"/>
        <w:jc w:val="lowKashida"/>
        <w:rPr>
          <w:rFonts w:ascii="Traditional Arabic" w:hAnsi="Traditional Arabic" w:cs="Traditional Arabic"/>
          <w:sz w:val="32"/>
          <w:szCs w:val="32"/>
          <w:rtl/>
        </w:rPr>
      </w:pPr>
      <w:r>
        <w:rPr>
          <w:rFonts w:ascii="Traditional Arabic" w:hAnsi="Traditional Arabic" w:cs="Traditional Arabic"/>
          <w:sz w:val="32"/>
          <w:szCs w:val="32"/>
          <w:rtl/>
        </w:rPr>
        <w:t>-دراسة (</w:t>
      </w:r>
      <w:r>
        <w:rPr>
          <w:rFonts w:asciiTheme="majorBidi" w:hAnsiTheme="majorBidi" w:cstheme="majorBidi"/>
        </w:rPr>
        <w:t>Harahap et al., 2026</w:t>
      </w:r>
      <w:r>
        <w:rPr>
          <w:rFonts w:ascii="Traditional Arabic" w:hAnsi="Traditional Arabic" w:cs="Traditional Arabic"/>
          <w:sz w:val="32"/>
          <w:szCs w:val="32"/>
          <w:rtl/>
        </w:rPr>
        <w:t>) بحثت توظيف الذكاء الاصطناعي في التعليم والخدمات المالية والقانون في ضوء المبادئ الإسلامية، بالاعتماد على مراجعة نوعية للأدبيات. وناقشت إمكاناته في تعزيز الامتثال الشرعي في الخدمات المالية، إلى جانب تحديات التحيز الخوارزمي وخصوصية البيانات وقصور البنية التحتية والحاجة إلى أطر تنظيمية متينة. وأكدت أهمية التعاون بين المتخصصين التقنيين وعلماء الشريعة وصناع السياسات لضمان اتساق تطبيقاته مع العدالة والشفافية. وتوفر هذه الدراسة أساساً نظرياً لمناقشة الضوابط الأخلاقية والشرعية لاستخدام الذكاء الاصطناعي ضمن التحول الرقمي لنظم المعلومات المحاسبية، بينما يختص البحث الحالي بدراسة علاقته بكفاءة إدارة المخاطر الائتمانية في البيئة المصرفية الإسلامية الكويتية.</w:t>
      </w:r>
    </w:p>
    <w:p w14:paraId="566D9259" w14:textId="77777777" w:rsidR="00E64BC2" w:rsidRDefault="00E64BC2" w:rsidP="00E64BC2">
      <w:pPr>
        <w:bidi/>
        <w:spacing w:after="0" w:line="240" w:lineRule="auto"/>
        <w:jc w:val="lowKashida"/>
        <w:rPr>
          <w:rFonts w:ascii="Traditional Arabic" w:hAnsi="Traditional Arabic" w:cs="Traditional Arabic"/>
          <w:sz w:val="32"/>
          <w:szCs w:val="32"/>
        </w:rPr>
      </w:pPr>
    </w:p>
    <w:p w14:paraId="75ACEBF3" w14:textId="449456DE" w:rsidR="00326DB9" w:rsidRDefault="00326DB9" w:rsidP="00D132F3">
      <w:pPr>
        <w:bidi/>
        <w:spacing w:after="0" w:line="240" w:lineRule="auto"/>
        <w:jc w:val="lowKashida"/>
        <w:rPr>
          <w:rFonts w:ascii="Traditional Arabic" w:hAnsi="Traditional Arabic" w:cs="Traditional Arabic"/>
          <w:sz w:val="32"/>
          <w:szCs w:val="32"/>
        </w:rPr>
      </w:pPr>
      <w:r>
        <w:rPr>
          <w:rFonts w:ascii="Traditional Arabic" w:hAnsi="Traditional Arabic" w:cs="Traditional Arabic" w:hint="cs"/>
          <w:b/>
          <w:bCs/>
          <w:sz w:val="32"/>
          <w:szCs w:val="32"/>
          <w:rtl/>
        </w:rPr>
        <w:t>-</w:t>
      </w:r>
      <w:r w:rsidRPr="00326DB9">
        <w:rPr>
          <w:rFonts w:ascii="Traditional Arabic" w:hAnsi="Traditional Arabic" w:cs="Traditional Arabic" w:hint="cs"/>
          <w:b/>
          <w:bCs/>
          <w:sz w:val="32"/>
          <w:szCs w:val="32"/>
          <w:rtl/>
        </w:rPr>
        <w:t xml:space="preserve">الفرق بين هذه الدراسة والدراسة السابقة: </w:t>
      </w:r>
      <w:r w:rsidRPr="00326DB9">
        <w:rPr>
          <w:rFonts w:ascii="Traditional Arabic" w:hAnsi="Traditional Arabic" w:cs="Traditional Arabic"/>
          <w:sz w:val="32"/>
          <w:szCs w:val="32"/>
          <w:rtl/>
        </w:rPr>
        <w:t xml:space="preserve">تبرز الفجوة البحثية التي تسدها هذه الدراسة من خلال أن الدراسات السابقة لم تجمع بين المحاور الثلاثة الأساسية لهذه الدراسة، التحول الرقمي لنظم المعلومات المحاسبية، إدارة المخاطر الائتمانية، والسياق المحدد للبنوك الإسلامية الكويتية، في دراسة تحليلية واحدة تهدف إلى قياس الأثر، فكل دراسة سابقة </w:t>
      </w:r>
      <w:r w:rsidRPr="00326DB9">
        <w:rPr>
          <w:rFonts w:ascii="Traditional Arabic" w:hAnsi="Traditional Arabic" w:cs="Traditional Arabic"/>
          <w:sz w:val="32"/>
          <w:szCs w:val="32"/>
          <w:rtl/>
        </w:rPr>
        <w:lastRenderedPageBreak/>
        <w:t>تناولت جانبًا أو جانبين من هذه المحاور، أو في سياق مختلف، مما يترك حاجة ماسة لدراسة متكاملة توضح الروابط المباشرة بين التحول الرقمي لنظم المعلومات المحاسبية وكفاءة إدارة المخاطر الائتمانية في البيئة المصرفية الإسلامية الكويتية</w:t>
      </w:r>
      <w:r w:rsidRPr="00326DB9">
        <w:rPr>
          <w:rFonts w:ascii="Traditional Arabic" w:hAnsi="Traditional Arabic" w:cs="Traditional Arabic" w:hint="cs"/>
          <w:sz w:val="32"/>
          <w:szCs w:val="32"/>
          <w:rtl/>
        </w:rPr>
        <w:t xml:space="preserve">، </w:t>
      </w:r>
      <w:r w:rsidRPr="00326DB9">
        <w:rPr>
          <w:rFonts w:ascii="Traditional Arabic" w:hAnsi="Traditional Arabic" w:cs="Traditional Arabic"/>
          <w:sz w:val="32"/>
          <w:szCs w:val="32"/>
          <w:rtl/>
        </w:rPr>
        <w:t xml:space="preserve"> هذا ما تسعى الدراسة لتحقيقه، مما يجعلها إضافة قيمة للأدبيات العلمية والممارسات التطبيقية</w:t>
      </w:r>
      <w:r w:rsidRPr="00326DB9">
        <w:rPr>
          <w:rFonts w:ascii="Traditional Arabic" w:hAnsi="Traditional Arabic" w:cs="Traditional Arabic"/>
          <w:sz w:val="32"/>
          <w:szCs w:val="32"/>
        </w:rPr>
        <w:t>.</w:t>
      </w:r>
    </w:p>
    <w:p w14:paraId="09D56A21" w14:textId="77777777" w:rsidR="00E64BC2" w:rsidRPr="00326DB9" w:rsidRDefault="00E64BC2" w:rsidP="00E64BC2">
      <w:pPr>
        <w:bidi/>
        <w:spacing w:after="0" w:line="240" w:lineRule="auto"/>
        <w:jc w:val="lowKashida"/>
        <w:rPr>
          <w:rFonts w:ascii="Traditional Arabic" w:hAnsi="Traditional Arabic" w:cs="Traditional Arabic"/>
          <w:sz w:val="32"/>
          <w:szCs w:val="32"/>
        </w:rPr>
      </w:pPr>
    </w:p>
    <w:p w14:paraId="05E4D060" w14:textId="5B55218B" w:rsidR="00326DB9" w:rsidRDefault="00326DB9" w:rsidP="00D132F3">
      <w:pPr>
        <w:bidi/>
        <w:spacing w:after="0" w:line="240" w:lineRule="auto"/>
        <w:jc w:val="lowKashida"/>
        <w:rPr>
          <w:rFonts w:ascii="Traditional Arabic" w:hAnsi="Traditional Arabic" w:cs="Traditional Arabic"/>
          <w:sz w:val="32"/>
          <w:szCs w:val="32"/>
        </w:rPr>
      </w:pPr>
      <w:r w:rsidRPr="00DE07E9">
        <w:rPr>
          <w:rFonts w:ascii="Traditional Arabic" w:hAnsi="Traditional Arabic" w:cs="Traditional Arabic" w:hint="cs"/>
          <w:b/>
          <w:bCs/>
          <w:sz w:val="32"/>
          <w:szCs w:val="32"/>
          <w:rtl/>
        </w:rPr>
        <w:t>ا</w:t>
      </w:r>
      <w:r w:rsidRPr="00DE07E9">
        <w:rPr>
          <w:rFonts w:ascii="Traditional Arabic" w:hAnsi="Traditional Arabic" w:cs="Traditional Arabic"/>
          <w:b/>
          <w:bCs/>
          <w:sz w:val="32"/>
          <w:szCs w:val="32"/>
          <w:rtl/>
        </w:rPr>
        <w:t>لمنهج المتبع للدراسة</w:t>
      </w:r>
      <w:r w:rsidRPr="00DE07E9">
        <w:rPr>
          <w:rFonts w:ascii="Traditional Arabic" w:hAnsi="Traditional Arabic" w:cs="Traditional Arabic"/>
          <w:sz w:val="32"/>
          <w:szCs w:val="32"/>
          <w:rtl/>
        </w:rPr>
        <w:t xml:space="preserve">: </w:t>
      </w:r>
      <w:r w:rsidRPr="00E40A53">
        <w:rPr>
          <w:rFonts w:ascii="Traditional Arabic" w:hAnsi="Traditional Arabic" w:cs="Traditional Arabic"/>
          <w:sz w:val="32"/>
          <w:szCs w:val="32"/>
          <w:rtl/>
        </w:rPr>
        <w:t>المنهج الوصفي</w:t>
      </w:r>
      <w:r>
        <w:rPr>
          <w:rFonts w:ascii="Traditional Arabic" w:hAnsi="Traditional Arabic" w:cs="Traditional Arabic" w:hint="cs"/>
          <w:sz w:val="32"/>
          <w:szCs w:val="32"/>
          <w:rtl/>
        </w:rPr>
        <w:t xml:space="preserve">: </w:t>
      </w:r>
      <w:r w:rsidRPr="00E40A53">
        <w:rPr>
          <w:rFonts w:ascii="Traditional Arabic" w:hAnsi="Traditional Arabic" w:cs="Traditional Arabic"/>
          <w:sz w:val="32"/>
          <w:szCs w:val="32"/>
          <w:rtl/>
        </w:rPr>
        <w:t>سيتم تجسيد الشق الوصفي من خلال الدراسة المكتبية المكثفة لمراجعة الأدبيات والنظريات المتعلقة بالمتغيرات، وكذلك من خلال الإحصاءات الوصفية (المتوسطات، الانحرافات المعيارية، التكرارات) لبيانات الاستبيان، والتي ستوفر صورة واضحة ومفصلة لواقع الظواهر المدروسة</w:t>
      </w:r>
      <w:r w:rsidRPr="00E40A53">
        <w:rPr>
          <w:rFonts w:ascii="Traditional Arabic" w:hAnsi="Traditional Arabic" w:cs="Traditional Arabic"/>
          <w:sz w:val="32"/>
          <w:szCs w:val="32"/>
        </w:rPr>
        <w:t>.</w:t>
      </w:r>
    </w:p>
    <w:p w14:paraId="6BF4BC1E" w14:textId="77777777" w:rsidR="00E64BC2" w:rsidRPr="00E40A53" w:rsidRDefault="00E64BC2" w:rsidP="00E64BC2">
      <w:pPr>
        <w:bidi/>
        <w:spacing w:after="0" w:line="240" w:lineRule="auto"/>
        <w:jc w:val="lowKashida"/>
        <w:rPr>
          <w:rFonts w:ascii="Traditional Arabic" w:hAnsi="Traditional Arabic" w:cs="Traditional Arabic"/>
          <w:sz w:val="32"/>
          <w:szCs w:val="32"/>
          <w:rtl/>
        </w:rPr>
      </w:pPr>
    </w:p>
    <w:p w14:paraId="361AB989" w14:textId="26E1B6F2" w:rsidR="00326DB9" w:rsidRDefault="00326DB9" w:rsidP="00D132F3">
      <w:pPr>
        <w:bidi/>
        <w:spacing w:after="0" w:line="240" w:lineRule="auto"/>
        <w:jc w:val="lowKashida"/>
        <w:rPr>
          <w:rFonts w:ascii="Traditional Arabic" w:hAnsi="Traditional Arabic" w:cs="Traditional Arabic"/>
          <w:sz w:val="32"/>
          <w:szCs w:val="32"/>
          <w:rtl/>
        </w:rPr>
      </w:pPr>
      <w:r w:rsidRPr="00E40A53">
        <w:rPr>
          <w:rFonts w:ascii="Traditional Arabic" w:hAnsi="Traditional Arabic" w:cs="Traditional Arabic"/>
          <w:sz w:val="32"/>
          <w:szCs w:val="32"/>
          <w:rtl/>
        </w:rPr>
        <w:t>المنهج التحليلي</w:t>
      </w:r>
      <w:r>
        <w:rPr>
          <w:rFonts w:ascii="Traditional Arabic" w:hAnsi="Traditional Arabic" w:cs="Traditional Arabic" w:hint="cs"/>
          <w:sz w:val="32"/>
          <w:szCs w:val="32"/>
          <w:rtl/>
        </w:rPr>
        <w:t>:</w:t>
      </w:r>
      <w:r w:rsidRPr="00E40A53">
        <w:rPr>
          <w:rFonts w:ascii="Traditional Arabic" w:hAnsi="Traditional Arabic" w:cs="Traditional Arabic"/>
          <w:sz w:val="32"/>
          <w:szCs w:val="32"/>
        </w:rPr>
        <w:t xml:space="preserve"> </w:t>
      </w:r>
      <w:r w:rsidRPr="00E40A53">
        <w:rPr>
          <w:rFonts w:ascii="Traditional Arabic" w:hAnsi="Traditional Arabic" w:cs="Traditional Arabic"/>
          <w:sz w:val="32"/>
          <w:szCs w:val="32"/>
          <w:rtl/>
        </w:rPr>
        <w:t>سيتجلى الشق التحليلي في استخدام الأساليب الإحصائية المتقدمة مثل تحليل الارتباط لتحديد طبيعة وقوة العلاقات بين المتغيرات، وتحليل الانحدار المتعدد لاختبار الفرضيات وقياس الأثر الكمي للتحول الرقمي لنظم المعلومات المحاسبية على كفاءة إدارة المخاطر الائتمانية</w:t>
      </w:r>
      <w:r w:rsidRPr="00E40A53">
        <w:rPr>
          <w:rFonts w:ascii="Traditional Arabic" w:hAnsi="Traditional Arabic" w:cs="Traditional Arabic"/>
          <w:sz w:val="32"/>
          <w:szCs w:val="32"/>
        </w:rPr>
        <w:t>.</w:t>
      </w:r>
      <w:r w:rsidRPr="00E40A53">
        <w:rPr>
          <w:rFonts w:ascii="Traditional Arabic" w:hAnsi="Traditional Arabic" w:cs="Traditional Arabic"/>
          <w:sz w:val="32"/>
          <w:szCs w:val="32"/>
          <w:rtl/>
        </w:rPr>
        <w:t xml:space="preserve">  </w:t>
      </w:r>
    </w:p>
    <w:p w14:paraId="3C34390E" w14:textId="77777777" w:rsidR="00E64BC2" w:rsidRPr="00E40A53" w:rsidRDefault="00E64BC2" w:rsidP="00E64BC2">
      <w:pPr>
        <w:bidi/>
        <w:spacing w:after="0" w:line="240" w:lineRule="auto"/>
        <w:jc w:val="lowKashida"/>
        <w:rPr>
          <w:rFonts w:ascii="Traditional Arabic" w:hAnsi="Traditional Arabic" w:cs="Traditional Arabic"/>
          <w:sz w:val="32"/>
          <w:szCs w:val="32"/>
          <w:rtl/>
        </w:rPr>
      </w:pPr>
    </w:p>
    <w:p w14:paraId="3A4C7B43" w14:textId="77777777" w:rsidR="00326DB9" w:rsidRPr="00E40A53" w:rsidRDefault="00326DB9" w:rsidP="00D132F3">
      <w:pPr>
        <w:bidi/>
        <w:spacing w:after="0" w:line="240" w:lineRule="auto"/>
        <w:jc w:val="lowKashida"/>
        <w:rPr>
          <w:rFonts w:ascii="Traditional Arabic" w:hAnsi="Traditional Arabic" w:cs="Traditional Arabic"/>
          <w:sz w:val="32"/>
          <w:szCs w:val="32"/>
        </w:rPr>
      </w:pPr>
      <w:r w:rsidRPr="0004480C">
        <w:rPr>
          <w:rFonts w:ascii="Traditional Arabic" w:hAnsi="Traditional Arabic" w:cs="Traditional Arabic"/>
          <w:b/>
          <w:bCs/>
          <w:sz w:val="32"/>
          <w:szCs w:val="32"/>
          <w:rtl/>
        </w:rPr>
        <w:t>حدود البحث</w:t>
      </w:r>
      <w:r>
        <w:rPr>
          <w:rFonts w:ascii="Traditional Arabic" w:hAnsi="Traditional Arabic" w:cs="Traditional Arabic" w:hint="cs"/>
          <w:b/>
          <w:bCs/>
          <w:sz w:val="32"/>
          <w:szCs w:val="32"/>
          <w:rtl/>
        </w:rPr>
        <w:t>:</w:t>
      </w:r>
      <w:r w:rsidRPr="00E40A53">
        <w:rPr>
          <w:rFonts w:ascii="Traditional Arabic" w:hAnsi="Traditional Arabic" w:cs="Traditional Arabic" w:hint="cs"/>
          <w:sz w:val="32"/>
          <w:szCs w:val="32"/>
          <w:rtl/>
        </w:rPr>
        <w:t xml:space="preserve"> الحدود المكانية: </w:t>
      </w:r>
      <w:r w:rsidRPr="00E40A53">
        <w:rPr>
          <w:rFonts w:ascii="Traditional Arabic" w:hAnsi="Traditional Arabic" w:cs="Traditional Arabic"/>
          <w:sz w:val="32"/>
          <w:szCs w:val="32"/>
          <w:rtl/>
        </w:rPr>
        <w:t>تقتصر الدراسة على البنوك الإسلامية العاملة في دولة الكويت</w:t>
      </w:r>
      <w:r w:rsidRPr="00E40A53">
        <w:rPr>
          <w:rFonts w:ascii="Traditional Arabic" w:hAnsi="Traditional Arabic" w:cs="Traditional Arabic" w:hint="cs"/>
          <w:sz w:val="32"/>
          <w:szCs w:val="32"/>
          <w:rtl/>
        </w:rPr>
        <w:t>.</w:t>
      </w:r>
    </w:p>
    <w:p w14:paraId="23217F8D" w14:textId="3A7DB171" w:rsidR="00326DB9" w:rsidRDefault="00326DB9" w:rsidP="00D132F3">
      <w:pPr>
        <w:bidi/>
        <w:spacing w:after="0" w:line="240" w:lineRule="auto"/>
        <w:jc w:val="lowKashida"/>
        <w:rPr>
          <w:rFonts w:ascii="Traditional Arabic" w:hAnsi="Traditional Arabic" w:cs="Traditional Arabic"/>
          <w:sz w:val="32"/>
          <w:szCs w:val="32"/>
          <w:rtl/>
        </w:rPr>
      </w:pPr>
      <w:r w:rsidRPr="00E40A53">
        <w:rPr>
          <w:rFonts w:ascii="Traditional Arabic" w:hAnsi="Traditional Arabic" w:cs="Traditional Arabic"/>
          <w:sz w:val="32"/>
          <w:szCs w:val="32"/>
          <w:rtl/>
        </w:rPr>
        <w:t>الحدود الموضوعي</w:t>
      </w:r>
      <w:r w:rsidRPr="00E40A53">
        <w:rPr>
          <w:rFonts w:ascii="Traditional Arabic" w:hAnsi="Traditional Arabic" w:cs="Traditional Arabic" w:hint="cs"/>
          <w:sz w:val="32"/>
          <w:szCs w:val="32"/>
          <w:rtl/>
        </w:rPr>
        <w:t>ة</w:t>
      </w:r>
      <w:r w:rsidRPr="00E40A53">
        <w:rPr>
          <w:rFonts w:ascii="Traditional Arabic" w:hAnsi="Traditional Arabic" w:cs="Traditional Arabic"/>
          <w:sz w:val="32"/>
          <w:szCs w:val="32"/>
          <w:rtl/>
        </w:rPr>
        <w:t>:</w:t>
      </w:r>
      <w:r w:rsidRPr="00E40A53">
        <w:rPr>
          <w:rFonts w:ascii="Traditional Arabic" w:hAnsi="Traditional Arabic" w:cs="Traditional Arabic" w:hint="cs"/>
          <w:sz w:val="32"/>
          <w:szCs w:val="32"/>
          <w:rtl/>
        </w:rPr>
        <w:t xml:space="preserve"> </w:t>
      </w:r>
      <w:r w:rsidRPr="00E40A53">
        <w:rPr>
          <w:rFonts w:ascii="Traditional Arabic" w:hAnsi="Traditional Arabic" w:cs="Traditional Arabic"/>
          <w:sz w:val="32"/>
          <w:szCs w:val="32"/>
          <w:rtl/>
        </w:rPr>
        <w:t>يركز البحث بشكل حصري على العلاقة بين التحول الرقمي لنظم المعلومات المحاسبية وكفاءة إدارة المخاطر الائتمانية.</w:t>
      </w:r>
    </w:p>
    <w:p w14:paraId="030D1059" w14:textId="77777777" w:rsidR="00E64BC2" w:rsidRDefault="00E64BC2" w:rsidP="00E64BC2">
      <w:pPr>
        <w:bidi/>
        <w:spacing w:after="0" w:line="240" w:lineRule="auto"/>
        <w:jc w:val="lowKashida"/>
        <w:rPr>
          <w:rFonts w:ascii="Traditional Arabic" w:hAnsi="Traditional Arabic" w:cs="Traditional Arabic"/>
          <w:sz w:val="32"/>
          <w:szCs w:val="32"/>
          <w:rtl/>
        </w:rPr>
      </w:pPr>
    </w:p>
    <w:p w14:paraId="5726FF44" w14:textId="77777777" w:rsidR="00326DB9" w:rsidRPr="00DE48CA" w:rsidRDefault="00326DB9" w:rsidP="00D132F3">
      <w:pPr>
        <w:bidi/>
        <w:spacing w:after="0" w:line="240" w:lineRule="auto"/>
        <w:jc w:val="lowKashida"/>
        <w:rPr>
          <w:rFonts w:ascii="Traditional Arabic" w:hAnsi="Traditional Arabic" w:cs="Traditional Arabic"/>
          <w:sz w:val="36"/>
          <w:szCs w:val="36"/>
        </w:rPr>
      </w:pPr>
      <w:bookmarkStart w:id="4" w:name="_Hlk209201539"/>
      <w:r w:rsidRPr="00183A40">
        <w:rPr>
          <w:rFonts w:ascii="Traditional Arabic" w:hAnsi="Traditional Arabic" w:cs="Traditional Arabic" w:hint="cs"/>
          <w:b/>
          <w:bCs/>
          <w:sz w:val="36"/>
          <w:szCs w:val="36"/>
          <w:rtl/>
        </w:rPr>
        <w:t xml:space="preserve">المبحث الأول: </w:t>
      </w:r>
      <w:r w:rsidRPr="00B800F8">
        <w:rPr>
          <w:rFonts w:ascii="Traditional Arabic" w:hAnsi="Traditional Arabic" w:cs="Traditional Arabic" w:hint="cs"/>
          <w:b/>
          <w:bCs/>
          <w:sz w:val="36"/>
          <w:szCs w:val="36"/>
          <w:rtl/>
        </w:rPr>
        <w:t>تعري</w:t>
      </w:r>
      <w:r w:rsidRPr="00B800F8">
        <w:rPr>
          <w:rFonts w:ascii="Traditional Arabic" w:hAnsi="Traditional Arabic" w:cs="Traditional Arabic" w:hint="eastAsia"/>
          <w:b/>
          <w:bCs/>
          <w:sz w:val="36"/>
          <w:szCs w:val="36"/>
          <w:rtl/>
        </w:rPr>
        <w:t>ف</w:t>
      </w:r>
      <w:r w:rsidRPr="00B800F8">
        <w:rPr>
          <w:rFonts w:ascii="Traditional Arabic" w:hAnsi="Traditional Arabic" w:cs="Traditional Arabic" w:hint="cs"/>
          <w:b/>
          <w:bCs/>
          <w:sz w:val="36"/>
          <w:szCs w:val="36"/>
          <w:rtl/>
        </w:rPr>
        <w:t xml:space="preserve"> كلا من، التحول الرقمي، نظم المعلومات المحاسبي، الأثر، المخاطر الائتمانية</w:t>
      </w:r>
      <w:bookmarkEnd w:id="4"/>
      <w:r w:rsidRPr="00EF2341">
        <w:rPr>
          <w:rFonts w:ascii="Traditional Arabic" w:hAnsi="Traditional Arabic" w:cs="Traditional Arabic" w:hint="cs"/>
          <w:sz w:val="36"/>
          <w:szCs w:val="36"/>
          <w:rtl/>
        </w:rPr>
        <w:t xml:space="preserve">. </w:t>
      </w:r>
    </w:p>
    <w:p w14:paraId="0E1BB2A4" w14:textId="2738E712" w:rsidR="00326DB9" w:rsidRDefault="00326DB9" w:rsidP="00D132F3">
      <w:pPr>
        <w:pStyle w:val="Heading3"/>
        <w:bidi/>
        <w:spacing w:before="0" w:after="0" w:line="240" w:lineRule="auto"/>
        <w:jc w:val="lowKashida"/>
        <w:rPr>
          <w:rFonts w:ascii="Traditional Arabic" w:eastAsia="Times New Roman" w:hAnsi="Traditional Arabic" w:cs="Traditional Arabic"/>
          <w:color w:val="auto"/>
          <w:kern w:val="0"/>
          <w:sz w:val="32"/>
          <w:szCs w:val="32"/>
          <w14:ligatures w14:val="none"/>
        </w:rPr>
      </w:pPr>
      <w:r w:rsidRPr="00B26AE2">
        <w:rPr>
          <w:rFonts w:ascii="Traditional Arabic" w:hAnsi="Traditional Arabic" w:cs="Traditional Arabic"/>
          <w:b/>
          <w:bCs/>
          <w:color w:val="auto"/>
          <w:sz w:val="32"/>
          <w:szCs w:val="32"/>
          <w:rtl/>
        </w:rPr>
        <w:t>تعرف التحول الرقمي لغة واصطلاحا</w:t>
      </w:r>
      <w:r w:rsidRPr="00B26AE2">
        <w:rPr>
          <w:rFonts w:ascii="Traditional Arabic" w:hAnsi="Traditional Arabic" w:cs="Traditional Arabic"/>
          <w:color w:val="auto"/>
          <w:sz w:val="32"/>
          <w:szCs w:val="32"/>
          <w:rtl/>
        </w:rPr>
        <w:t>:</w:t>
      </w:r>
      <w:r w:rsidRPr="00B26AE2">
        <w:rPr>
          <w:rFonts w:ascii="Traditional Arabic" w:hAnsi="Traditional Arabic" w:cs="Traditional Arabic"/>
          <w:color w:val="auto"/>
          <w:sz w:val="32"/>
          <w:szCs w:val="32"/>
        </w:rPr>
        <w:t xml:space="preserve"> </w:t>
      </w:r>
      <w:r w:rsidRPr="00B26AE2">
        <w:rPr>
          <w:rFonts w:ascii="Traditional Arabic" w:eastAsia="Times New Roman" w:hAnsi="Traditional Arabic" w:cs="Traditional Arabic"/>
          <w:b/>
          <w:bCs/>
          <w:color w:val="auto"/>
          <w:kern w:val="0"/>
          <w:sz w:val="32"/>
          <w:szCs w:val="32"/>
          <w:rtl/>
          <w14:ligatures w14:val="none"/>
        </w:rPr>
        <w:t>التحول الرقمي لغةً</w:t>
      </w:r>
      <w:r w:rsidRPr="00B26AE2">
        <w:rPr>
          <w:rFonts w:ascii="Traditional Arabic" w:eastAsia="Times New Roman" w:hAnsi="Traditional Arabic" w:cs="Traditional Arabic"/>
          <w:b/>
          <w:bCs/>
          <w:color w:val="auto"/>
          <w:kern w:val="0"/>
          <w:sz w:val="32"/>
          <w:szCs w:val="32"/>
          <w14:ligatures w14:val="none"/>
        </w:rPr>
        <w:t xml:space="preserve">: </w:t>
      </w:r>
      <w:r w:rsidRPr="00B26AE2">
        <w:rPr>
          <w:rFonts w:ascii="Traditional Arabic" w:eastAsia="Times New Roman" w:hAnsi="Traditional Arabic" w:cs="Traditional Arabic"/>
          <w:color w:val="auto"/>
          <w:kern w:val="0"/>
          <w:sz w:val="32"/>
          <w:szCs w:val="32"/>
          <w:rtl/>
          <w14:ligatures w14:val="none"/>
        </w:rPr>
        <w:t>التحول: من الفعل "تحوّل" أي تغيّر وانتقل من حالٍ إلى حال</w:t>
      </w:r>
      <w:r w:rsidRPr="00B26AE2">
        <w:rPr>
          <w:rFonts w:ascii="Traditional Arabic" w:eastAsia="Times New Roman" w:hAnsi="Traditional Arabic" w:cs="Traditional Arabic"/>
          <w:color w:val="auto"/>
          <w:kern w:val="0"/>
          <w:sz w:val="32"/>
          <w:szCs w:val="32"/>
          <w14:ligatures w14:val="none"/>
        </w:rPr>
        <w:t xml:space="preserve">. </w:t>
      </w:r>
      <w:r w:rsidRPr="00B26AE2">
        <w:rPr>
          <w:rFonts w:ascii="Traditional Arabic" w:eastAsia="Times New Roman" w:hAnsi="Traditional Arabic" w:cs="Traditional Arabic"/>
          <w:color w:val="auto"/>
          <w:kern w:val="0"/>
          <w:sz w:val="32"/>
          <w:szCs w:val="32"/>
          <w:rtl/>
          <w14:ligatures w14:val="none"/>
        </w:rPr>
        <w:t>الرقمي: نسبة إلى "الرقم" أي ما يُعبر عنه بالأعداد أو البيانات العددية</w:t>
      </w:r>
      <w:r w:rsidRPr="00B26AE2">
        <w:rPr>
          <w:rFonts w:ascii="Traditional Arabic" w:eastAsia="Times New Roman" w:hAnsi="Traditional Arabic" w:cs="Traditional Arabic"/>
          <w:color w:val="auto"/>
          <w:kern w:val="0"/>
          <w:sz w:val="32"/>
          <w:szCs w:val="32"/>
          <w14:ligatures w14:val="none"/>
        </w:rPr>
        <w:t>.</w:t>
      </w:r>
      <w:r w:rsidRPr="00B26AE2">
        <w:rPr>
          <w:rFonts w:ascii="Traditional Arabic" w:eastAsia="Times New Roman" w:hAnsi="Traditional Arabic" w:cs="Traditional Arabic"/>
          <w:color w:val="auto"/>
          <w:kern w:val="0"/>
          <w:sz w:val="32"/>
          <w:szCs w:val="32"/>
          <w14:ligatures w14:val="none"/>
        </w:rPr>
        <w:br/>
      </w:r>
      <w:r w:rsidRPr="00B26AE2">
        <w:rPr>
          <w:rFonts w:ascii="Traditional Arabic" w:eastAsia="Times New Roman" w:hAnsi="Traditional Arabic" w:cs="Traditional Arabic"/>
          <w:color w:val="auto"/>
          <w:kern w:val="0"/>
          <w:sz w:val="32"/>
          <w:szCs w:val="32"/>
          <w:rtl/>
          <w14:ligatures w14:val="none"/>
        </w:rPr>
        <w:t>إذن فالتحول الرقمي لغةً يعني</w:t>
      </w:r>
      <w:r w:rsidRPr="00B26AE2">
        <w:rPr>
          <w:rFonts w:ascii="Traditional Arabic" w:eastAsia="Times New Roman" w:hAnsi="Traditional Arabic" w:cs="Traditional Arabic"/>
          <w:color w:val="auto"/>
          <w:kern w:val="0"/>
          <w:sz w:val="32"/>
          <w:szCs w:val="32"/>
          <w14:ligatures w14:val="none"/>
        </w:rPr>
        <w:t xml:space="preserve">: </w:t>
      </w:r>
      <w:r w:rsidRPr="00B26AE2">
        <w:rPr>
          <w:rFonts w:ascii="Traditional Arabic" w:eastAsia="Times New Roman" w:hAnsi="Traditional Arabic" w:cs="Traditional Arabic"/>
          <w:color w:val="auto"/>
          <w:kern w:val="0"/>
          <w:sz w:val="32"/>
          <w:szCs w:val="32"/>
          <w:rtl/>
          <w14:ligatures w14:val="none"/>
        </w:rPr>
        <w:t>الانتقال من النظام التقليدي الورقي أو اليدوي إلى النظام الرقمي القائم على الأرقام والبيانات الإلكترونية</w:t>
      </w:r>
      <w:r w:rsidRPr="00B26AE2">
        <w:rPr>
          <w:rFonts w:ascii="Traditional Arabic" w:eastAsia="Times New Roman" w:hAnsi="Traditional Arabic" w:cs="Traditional Arabic"/>
          <w:color w:val="auto"/>
          <w:kern w:val="0"/>
          <w:sz w:val="32"/>
          <w:szCs w:val="32"/>
          <w14:ligatures w14:val="none"/>
        </w:rPr>
        <w:t>.</w:t>
      </w:r>
    </w:p>
    <w:p w14:paraId="4D0574FB" w14:textId="77777777" w:rsidR="00E64BC2" w:rsidRPr="00E64BC2" w:rsidRDefault="00E64BC2" w:rsidP="00E64BC2">
      <w:pPr>
        <w:bidi/>
      </w:pPr>
    </w:p>
    <w:p w14:paraId="57A0F65F" w14:textId="77777777" w:rsidR="00326DB9" w:rsidRPr="00B26AE2" w:rsidRDefault="00326DB9" w:rsidP="00D132F3">
      <w:pPr>
        <w:bidi/>
        <w:spacing w:after="0" w:line="240" w:lineRule="auto"/>
        <w:jc w:val="lowKashida"/>
        <w:rPr>
          <w:rFonts w:ascii="Traditional Arabic" w:hAnsi="Traditional Arabic" w:cs="Traditional Arabic"/>
          <w:b/>
          <w:bCs/>
          <w:sz w:val="32"/>
          <w:szCs w:val="32"/>
        </w:rPr>
      </w:pPr>
      <w:r w:rsidRPr="00132AA2">
        <w:rPr>
          <w:rFonts w:ascii="Traditional Arabic" w:hAnsi="Traditional Arabic" w:cs="Traditional Arabic"/>
          <w:b/>
          <w:bCs/>
          <w:sz w:val="32"/>
          <w:szCs w:val="32"/>
          <w:rtl/>
        </w:rPr>
        <w:t xml:space="preserve">التحول الرقمي اصطلاحاً </w:t>
      </w:r>
      <w:r w:rsidRPr="00132AA2">
        <w:rPr>
          <w:rFonts w:ascii="Traditional Arabic" w:hAnsi="Traditional Arabic" w:cs="Traditional Arabic"/>
          <w:sz w:val="32"/>
          <w:szCs w:val="32"/>
          <w:rtl/>
        </w:rPr>
        <w:t>هو</w:t>
      </w:r>
      <w:r w:rsidRPr="00132AA2">
        <w:rPr>
          <w:rFonts w:ascii="Traditional Arabic" w:hAnsi="Traditional Arabic" w:cs="Traditional Arabic"/>
          <w:sz w:val="32"/>
          <w:szCs w:val="32"/>
        </w:rPr>
        <w:t>:</w:t>
      </w:r>
      <w:r w:rsidRPr="00132AA2">
        <w:rPr>
          <w:rFonts w:ascii="Traditional Arabic" w:hAnsi="Traditional Arabic" w:cs="Traditional Arabic"/>
          <w:b/>
          <w:bCs/>
          <w:sz w:val="32"/>
          <w:szCs w:val="32"/>
          <w:rtl/>
        </w:rPr>
        <w:t xml:space="preserve"> </w:t>
      </w:r>
      <w:r w:rsidRPr="00132AA2">
        <w:rPr>
          <w:rFonts w:ascii="Traditional Arabic" w:hAnsi="Traditional Arabic" w:cs="Traditional Arabic"/>
          <w:sz w:val="32"/>
          <w:szCs w:val="32"/>
          <w:rtl/>
        </w:rPr>
        <w:t>عملية تكامل واعتماد للتقنيات الرقمية الحديثة في مختلف أنشطة المؤسسات الاقتصادية والاجتماعية بهدف تحسين الكفاءة، تطوير نماذج الأعمال، وتقديم قيمة مضافة للمستفيدين عبر التحول من الأساليب التقليدية إلى الرقمية (</w:t>
      </w:r>
      <w:r w:rsidRPr="00DE48CA">
        <w:rPr>
          <w:rFonts w:asciiTheme="majorBidi" w:hAnsiTheme="majorBidi" w:cstheme="majorBidi"/>
        </w:rPr>
        <w:t>Westerman, G., Bonnet, D., &amp; McAfee, A. (2014</w:t>
      </w:r>
      <w:r w:rsidRPr="00132AA2">
        <w:rPr>
          <w:rFonts w:ascii="Traditional Arabic" w:hAnsi="Traditional Arabic" w:cs="Traditional Arabic"/>
          <w:sz w:val="32"/>
          <w:szCs w:val="32"/>
          <w:rtl/>
        </w:rPr>
        <w:t>)</w:t>
      </w:r>
    </w:p>
    <w:p w14:paraId="55188E93" w14:textId="77777777" w:rsidR="00326DB9" w:rsidRPr="00232BA5"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232BA5">
        <w:rPr>
          <w:rFonts w:ascii="Times New Roman" w:eastAsia="Times New Roman" w:hAnsi="Times New Roman" w:cs="Times New Roman"/>
          <w:b/>
          <w:bCs/>
          <w:kern w:val="0"/>
          <w:rtl/>
          <w14:ligatures w14:val="none"/>
        </w:rPr>
        <w:lastRenderedPageBreak/>
        <w:t>لغويًا</w:t>
      </w:r>
      <w:r w:rsidRPr="00232BA5">
        <w:rPr>
          <w:rFonts w:ascii="Times New Roman" w:eastAsia="Times New Roman" w:hAnsi="Times New Roman" w:cs="Times New Roman"/>
          <w:kern w:val="0"/>
          <w:rtl/>
          <w14:ligatures w14:val="none"/>
        </w:rPr>
        <w:t xml:space="preserve">، تشير </w:t>
      </w:r>
      <w:r w:rsidRPr="00232BA5">
        <w:rPr>
          <w:rFonts w:ascii="Traditional Arabic" w:eastAsia="Times New Roman" w:hAnsi="Traditional Arabic" w:cs="Traditional Arabic"/>
          <w:kern w:val="0"/>
          <w:sz w:val="32"/>
          <w:szCs w:val="32"/>
          <w:rtl/>
          <w14:ligatures w14:val="none"/>
        </w:rPr>
        <w:t>"نظم المعلومات المحاسبية" إلى الترتيب المنظم للبيانات والمعارف المتعلقة بالعمليات المحاسبية، بهدف إنتاج معلومات ذات قيمة</w:t>
      </w:r>
      <w:r w:rsidRPr="00232BA5">
        <w:rPr>
          <w:rFonts w:ascii="Traditional Arabic" w:eastAsia="Times New Roman" w:hAnsi="Traditional Arabic" w:cs="Traditional Arabic"/>
          <w:kern w:val="0"/>
          <w:sz w:val="32"/>
          <w:szCs w:val="32"/>
          <w14:ligatures w14:val="none"/>
        </w:rPr>
        <w:t>.</w:t>
      </w:r>
    </w:p>
    <w:p w14:paraId="2A22851B" w14:textId="2A6D50EB" w:rsidR="00326DB9" w:rsidRPr="00232BA5"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232BA5">
        <w:rPr>
          <w:rFonts w:ascii="Times New Roman" w:eastAsia="Times New Roman" w:hAnsi="Times New Roman" w:cs="Times New Roman"/>
          <w:b/>
          <w:bCs/>
          <w:kern w:val="0"/>
          <w14:ligatures w14:val="none"/>
        </w:rPr>
        <w:t xml:space="preserve">2. </w:t>
      </w:r>
      <w:r w:rsidRPr="00232BA5">
        <w:rPr>
          <w:rFonts w:ascii="Times New Roman" w:eastAsia="Times New Roman" w:hAnsi="Times New Roman" w:cs="Times New Roman"/>
          <w:b/>
          <w:bCs/>
          <w:kern w:val="0"/>
          <w:rtl/>
          <w14:ligatures w14:val="none"/>
        </w:rPr>
        <w:t xml:space="preserve">التعريف </w:t>
      </w:r>
      <w:r w:rsidRPr="00232BA5">
        <w:rPr>
          <w:rFonts w:ascii="Traditional Arabic" w:eastAsia="Times New Roman" w:hAnsi="Traditional Arabic" w:cs="Traditional Arabic" w:hint="cs"/>
          <w:kern w:val="0"/>
          <w:sz w:val="32"/>
          <w:szCs w:val="32"/>
          <w:rtl/>
          <w14:ligatures w14:val="none"/>
        </w:rPr>
        <w:t>الاصطلاحي</w:t>
      </w:r>
      <w:r w:rsidRPr="00232BA5">
        <w:rPr>
          <w:rFonts w:ascii="Traditional Arabic" w:eastAsia="Times New Roman" w:hAnsi="Traditional Arabic" w:cs="Traditional Arabic"/>
          <w:kern w:val="0"/>
          <w:sz w:val="32"/>
          <w:szCs w:val="32"/>
          <w14:ligatures w14:val="none"/>
        </w:rPr>
        <w:t xml:space="preserve">: </w:t>
      </w:r>
      <w:r w:rsidRPr="00232BA5">
        <w:rPr>
          <w:rFonts w:ascii="Traditional Arabic" w:eastAsia="Times New Roman" w:hAnsi="Traditional Arabic" w:cs="Traditional Arabic"/>
          <w:kern w:val="0"/>
          <w:sz w:val="32"/>
          <w:szCs w:val="32"/>
          <w:rtl/>
          <w14:ligatures w14:val="none"/>
        </w:rPr>
        <w:t>نظم المعلومات المحاسبية هي</w:t>
      </w:r>
      <w:r w:rsidRPr="00232BA5">
        <w:rPr>
          <w:rFonts w:ascii="Traditional Arabic" w:eastAsia="Times New Roman" w:hAnsi="Traditional Arabic" w:cs="Traditional Arabic"/>
          <w:kern w:val="0"/>
          <w:sz w:val="32"/>
          <w:szCs w:val="32"/>
          <w14:ligatures w14:val="none"/>
        </w:rPr>
        <w:t xml:space="preserve">: </w:t>
      </w:r>
      <w:r w:rsidRPr="00232BA5">
        <w:rPr>
          <w:rFonts w:ascii="Traditional Arabic" w:eastAsia="Times New Roman" w:hAnsi="Traditional Arabic" w:cs="Traditional Arabic"/>
          <w:kern w:val="0"/>
          <w:sz w:val="32"/>
          <w:szCs w:val="32"/>
          <w:rtl/>
          <w14:ligatures w14:val="none"/>
        </w:rPr>
        <w:t xml:space="preserve">نظام منظم يتكون من مجموعة متكاملة من الموارد البشرية، والبيانات، والبرمجيات، والأجهزة، والإجراءات (الضوابط </w:t>
      </w:r>
      <w:r w:rsidRPr="00232BA5">
        <w:rPr>
          <w:rFonts w:ascii="Traditional Arabic" w:eastAsia="Times New Roman" w:hAnsi="Traditional Arabic" w:cs="Traditional Arabic" w:hint="cs"/>
          <w:kern w:val="0"/>
          <w:sz w:val="32"/>
          <w:szCs w:val="32"/>
          <w:rtl/>
          <w14:ligatures w14:val="none"/>
        </w:rPr>
        <w:t xml:space="preserve">الداخلية) </w:t>
      </w:r>
      <w:r w:rsidRPr="00232BA5">
        <w:rPr>
          <w:rFonts w:ascii="Traditional Arabic" w:eastAsia="Times New Roman" w:hAnsi="Traditional Arabic" w:cs="Traditional Arabic" w:hint="eastAsia"/>
          <w:kern w:val="0"/>
          <w:sz w:val="32"/>
          <w:szCs w:val="32"/>
          <w:rtl/>
          <w14:ligatures w14:val="none"/>
        </w:rPr>
        <w:t>،</w:t>
      </w:r>
      <w:r w:rsidRPr="00232BA5">
        <w:rPr>
          <w:rFonts w:ascii="Traditional Arabic" w:eastAsia="Times New Roman" w:hAnsi="Traditional Arabic" w:cs="Traditional Arabic"/>
          <w:kern w:val="0"/>
          <w:sz w:val="32"/>
          <w:szCs w:val="32"/>
          <w:rtl/>
          <w14:ligatures w14:val="none"/>
        </w:rPr>
        <w:t xml:space="preserve"> التي تعمل معًا لجمع، ومعالجة، وتخزين، واسترجاع، وإصدار المعلومات المالية وغير المالية ذات الصلة بالمعاملات المحاسبية للمنظمة، بهدف دعم عملياتها التشغيلية، والرقابية، وصنع القرارات على مختلف المستويات الإدارية</w:t>
      </w:r>
      <w:r>
        <w:rPr>
          <w:rFonts w:ascii="Traditional Arabic" w:eastAsia="Times New Roman" w:hAnsi="Traditional Arabic" w:cs="Traditional Arabic" w:hint="cs"/>
          <w:kern w:val="0"/>
          <w:sz w:val="32"/>
          <w:szCs w:val="32"/>
          <w:rtl/>
          <w14:ligatures w14:val="none"/>
        </w:rPr>
        <w:t>، (</w:t>
      </w:r>
      <w:r w:rsidRPr="00781D98">
        <w:rPr>
          <w:rFonts w:asciiTheme="majorBidi" w:eastAsia="Times New Roman" w:hAnsiTheme="majorBidi" w:cstheme="majorBidi"/>
          <w:kern w:val="0"/>
          <w14:ligatures w14:val="none"/>
        </w:rPr>
        <w:t>Abd al-Rahman, Ali Muhammad</w:t>
      </w:r>
      <w:r w:rsidR="00374726">
        <w:rPr>
          <w:rFonts w:asciiTheme="majorBidi" w:eastAsia="Times New Roman" w:hAnsiTheme="majorBidi" w:cstheme="majorBidi"/>
          <w:kern w:val="0"/>
          <w14:ligatures w14:val="none"/>
        </w:rPr>
        <w:t>,</w:t>
      </w:r>
      <w:r w:rsidRPr="00781D98">
        <w:rPr>
          <w:rFonts w:asciiTheme="majorBidi" w:eastAsia="Times New Roman" w:hAnsiTheme="majorBidi" w:cstheme="majorBidi"/>
          <w:kern w:val="0"/>
          <w14:ligatures w14:val="none"/>
        </w:rPr>
        <w:t xml:space="preserve"> 2016</w:t>
      </w:r>
      <w:r w:rsidRPr="00374726">
        <w:rPr>
          <w:rFonts w:ascii="Garamond" w:eastAsia="Times New Roman" w:hAnsi="Garamond" w:cstheme="majorBidi"/>
          <w:kern w:val="0"/>
          <w:rtl/>
          <w14:ligatures w14:val="none"/>
        </w:rPr>
        <w:t>)</w:t>
      </w:r>
    </w:p>
    <w:p w14:paraId="09591F46" w14:textId="77777777" w:rsidR="00326DB9" w:rsidRPr="001D622D" w:rsidRDefault="00326DB9" w:rsidP="00D132F3">
      <w:pPr>
        <w:bidi/>
        <w:spacing w:after="0" w:line="240" w:lineRule="auto"/>
        <w:jc w:val="lowKashida"/>
        <w:rPr>
          <w:rFonts w:ascii="Traditional Arabic" w:hAnsi="Traditional Arabic" w:cs="Traditional Arabic"/>
          <w:sz w:val="32"/>
          <w:szCs w:val="32"/>
          <w:rtl/>
        </w:rPr>
      </w:pPr>
      <w:r w:rsidRPr="001D622D">
        <w:rPr>
          <w:rFonts w:ascii="Traditional Arabic" w:hAnsi="Traditional Arabic" w:cs="Traditional Arabic"/>
          <w:b/>
          <w:bCs/>
          <w:sz w:val="32"/>
          <w:szCs w:val="32"/>
          <w:rtl/>
        </w:rPr>
        <w:t>تعريف الأثر لغة واطلاحاً</w:t>
      </w:r>
      <w:r w:rsidRPr="001D622D">
        <w:rPr>
          <w:rFonts w:ascii="Traditional Arabic" w:hAnsi="Traditional Arabic" w:cs="Traditional Arabic"/>
          <w:sz w:val="32"/>
          <w:szCs w:val="32"/>
          <w:rtl/>
        </w:rPr>
        <w:t xml:space="preserve">: </w:t>
      </w:r>
      <w:r w:rsidRPr="0068702F">
        <w:rPr>
          <w:rFonts w:ascii="Traditional Arabic" w:hAnsi="Traditional Arabic" w:cs="Traditional Arabic"/>
          <w:sz w:val="32"/>
          <w:szCs w:val="32"/>
          <w:rtl/>
        </w:rPr>
        <w:t>الأثر في اللغة</w:t>
      </w:r>
      <w:r w:rsidRPr="001D622D">
        <w:rPr>
          <w:rFonts w:ascii="Traditional Arabic" w:hAnsi="Traditional Arabic" w:cs="Traditional Arabic"/>
          <w:sz w:val="32"/>
          <w:szCs w:val="32"/>
          <w:rtl/>
        </w:rPr>
        <w:t xml:space="preserve">: ما بقي من الشيء، ويُقال: "أثَرُ الشيء" أي بقِيَّته وعلامته. جاء في لسان العرب، الأثر، ما بقي من رسم الشيء، والجمع آثار، </w:t>
      </w:r>
      <w:r w:rsidRPr="00781D98">
        <w:rPr>
          <w:rFonts w:asciiTheme="majorBidi" w:hAnsiTheme="majorBidi" w:cstheme="majorBidi"/>
          <w:rtl/>
        </w:rPr>
        <w:t>(</w:t>
      </w:r>
      <w:r w:rsidRPr="00374726">
        <w:rPr>
          <w:rFonts w:ascii="Garamond" w:hAnsi="Garamond" w:cstheme="majorBidi"/>
        </w:rPr>
        <w:t>Ibn Manzur, Muhammad ibn Mukarram,</w:t>
      </w:r>
      <w:r w:rsidRPr="00781D98">
        <w:rPr>
          <w:rFonts w:asciiTheme="majorBidi" w:hAnsiTheme="majorBidi" w:cstheme="majorBidi"/>
        </w:rPr>
        <w:t xml:space="preserve"> 1993 </w:t>
      </w:r>
    </w:p>
    <w:p w14:paraId="3B117854" w14:textId="77777777" w:rsidR="00326DB9" w:rsidRPr="001D622D" w:rsidRDefault="00326DB9" w:rsidP="00D132F3">
      <w:pPr>
        <w:pStyle w:val="NormalWeb"/>
        <w:bidi/>
        <w:spacing w:before="0" w:beforeAutospacing="0" w:after="0" w:afterAutospacing="0"/>
        <w:jc w:val="lowKashida"/>
        <w:rPr>
          <w:rFonts w:ascii="Traditional Arabic" w:hAnsi="Traditional Arabic" w:cs="Traditional Arabic"/>
          <w:sz w:val="32"/>
          <w:szCs w:val="32"/>
        </w:rPr>
      </w:pPr>
      <w:r w:rsidRPr="001D622D">
        <w:rPr>
          <w:rFonts w:ascii="Traditional Arabic" w:hAnsi="Traditional Arabic" w:cs="Traditional Arabic"/>
          <w:b/>
          <w:bCs/>
          <w:sz w:val="32"/>
          <w:szCs w:val="32"/>
          <w:rtl/>
        </w:rPr>
        <w:t xml:space="preserve"> الأثر اصطلاحًا</w:t>
      </w:r>
      <w:r>
        <w:rPr>
          <w:rFonts w:ascii="Traditional Arabic" w:hAnsi="Traditional Arabic" w:cs="Traditional Arabic" w:hint="cs"/>
          <w:sz w:val="32"/>
          <w:szCs w:val="32"/>
          <w:rtl/>
        </w:rPr>
        <w:t>:</w:t>
      </w:r>
      <w:r w:rsidRPr="001D622D">
        <w:rPr>
          <w:rFonts w:ascii="Traditional Arabic" w:hAnsi="Traditional Arabic" w:cs="Traditional Arabic"/>
          <w:sz w:val="32"/>
          <w:szCs w:val="32"/>
          <w:rtl/>
        </w:rPr>
        <w:t xml:space="preserve"> في العلوم الشرعية بعدة معانٍ، لكن المعنى الأشمل</w:t>
      </w:r>
      <w:r w:rsidRPr="001D622D">
        <w:rPr>
          <w:rFonts w:ascii="Traditional Arabic" w:hAnsi="Traditional Arabic" w:cs="Traditional Arabic"/>
          <w:sz w:val="32"/>
          <w:szCs w:val="32"/>
        </w:rPr>
        <w:t>:</w:t>
      </w:r>
      <w:r w:rsidRPr="001D622D">
        <w:rPr>
          <w:rFonts w:ascii="Traditional Arabic" w:hAnsi="Traditional Arabic" w:cs="Traditional Arabic"/>
          <w:sz w:val="32"/>
          <w:szCs w:val="32"/>
          <w:rtl/>
        </w:rPr>
        <w:t xml:space="preserve"> هو ما نُقِل عن السلف من أقوال أو أفعال، ويُطلق عند المحدثين على ما رُوي عن الصحابة والتابعين، سواء كان قولاً أو فعلاً أو تقريرًا</w:t>
      </w:r>
    </w:p>
    <w:p w14:paraId="2841F553" w14:textId="77777777" w:rsidR="00326DB9" w:rsidRPr="004D1766" w:rsidRDefault="00326DB9" w:rsidP="00D132F3">
      <w:pPr>
        <w:pStyle w:val="NormalWeb"/>
        <w:bidi/>
        <w:spacing w:before="0" w:beforeAutospacing="0" w:after="0" w:afterAutospacing="0"/>
        <w:jc w:val="lowKashida"/>
        <w:rPr>
          <w:rFonts w:ascii="Traditional Arabic" w:hAnsi="Traditional Arabic" w:cs="Traditional Arabic"/>
          <w:sz w:val="32"/>
          <w:szCs w:val="32"/>
          <w:rtl/>
        </w:rPr>
      </w:pPr>
      <w:r w:rsidRPr="001D622D">
        <w:rPr>
          <w:rFonts w:ascii="Traditional Arabic" w:hAnsi="Traditional Arabic" w:cs="Traditional Arabic"/>
          <w:sz w:val="32"/>
          <w:szCs w:val="32"/>
          <w:rtl/>
        </w:rPr>
        <w:t>(</w:t>
      </w:r>
      <w:bookmarkStart w:id="5" w:name="_Hlk209904750"/>
      <w:r w:rsidRPr="00374726">
        <w:rPr>
          <w:rFonts w:ascii="Garamond" w:hAnsi="Garamond" w:cstheme="majorBidi"/>
        </w:rPr>
        <w:t>Al-Zarkashi, Badr al-Din</w:t>
      </w:r>
      <w:r w:rsidRPr="00781D98">
        <w:rPr>
          <w:rFonts w:asciiTheme="majorBidi" w:hAnsiTheme="majorBidi" w:cstheme="majorBidi"/>
        </w:rPr>
        <w:t xml:space="preserve">, </w:t>
      </w:r>
      <w:bookmarkEnd w:id="5"/>
      <w:r>
        <w:rPr>
          <w:rFonts w:asciiTheme="majorBidi" w:hAnsiTheme="majorBidi" w:cstheme="majorBidi"/>
        </w:rPr>
        <w:t>1994</w:t>
      </w:r>
      <w:r>
        <w:rPr>
          <w:rFonts w:asciiTheme="majorBidi" w:hAnsiTheme="majorBidi" w:cstheme="majorBidi" w:hint="cs"/>
          <w:rtl/>
        </w:rPr>
        <w:t>).</w:t>
      </w:r>
    </w:p>
    <w:p w14:paraId="056D3D95" w14:textId="77777777" w:rsidR="00326DB9" w:rsidRPr="0068702F" w:rsidRDefault="00326DB9" w:rsidP="00D132F3">
      <w:pPr>
        <w:pStyle w:val="NormalWeb"/>
        <w:bidi/>
        <w:spacing w:before="0" w:beforeAutospacing="0" w:after="0" w:afterAutospacing="0"/>
        <w:jc w:val="lowKashida"/>
        <w:rPr>
          <w:rFonts w:ascii="Traditional Arabic" w:hAnsi="Traditional Arabic" w:cs="Traditional Arabic"/>
          <w:sz w:val="32"/>
          <w:szCs w:val="32"/>
          <w:rtl/>
        </w:rPr>
      </w:pPr>
      <w:r w:rsidRPr="004D1766">
        <w:rPr>
          <w:rFonts w:ascii="Traditional Arabic" w:hAnsi="Traditional Arabic" w:cs="Traditional Arabic"/>
          <w:b/>
          <w:bCs/>
          <w:sz w:val="32"/>
          <w:szCs w:val="32"/>
          <w:rtl/>
        </w:rPr>
        <w:t xml:space="preserve">المخاطر لغة </w:t>
      </w:r>
      <w:r w:rsidRPr="004D1766">
        <w:rPr>
          <w:rFonts w:ascii="Traditional Arabic" w:hAnsi="Traditional Arabic" w:cs="Traditional Arabic"/>
          <w:sz w:val="32"/>
          <w:szCs w:val="32"/>
          <w:rtl/>
        </w:rPr>
        <w:t xml:space="preserve">": جمع </w:t>
      </w:r>
      <w:r w:rsidRPr="004D1766">
        <w:rPr>
          <w:rStyle w:val="Emphasis"/>
          <w:rFonts w:ascii="Traditional Arabic" w:eastAsiaTheme="majorEastAsia" w:hAnsi="Traditional Arabic" w:cs="Traditional Arabic"/>
          <w:i w:val="0"/>
          <w:iCs w:val="0"/>
          <w:sz w:val="32"/>
          <w:szCs w:val="32"/>
          <w:rtl/>
        </w:rPr>
        <w:t>خطر</w:t>
      </w:r>
      <w:r w:rsidRPr="004D1766">
        <w:rPr>
          <w:rFonts w:ascii="Traditional Arabic" w:hAnsi="Traditional Arabic" w:cs="Traditional Arabic"/>
          <w:i/>
          <w:iCs/>
          <w:sz w:val="32"/>
          <w:szCs w:val="32"/>
          <w:rtl/>
        </w:rPr>
        <w:t>،</w:t>
      </w:r>
      <w:r w:rsidRPr="004D1766">
        <w:rPr>
          <w:rFonts w:ascii="Traditional Arabic" w:hAnsi="Traditional Arabic" w:cs="Traditional Arabic"/>
          <w:sz w:val="32"/>
          <w:szCs w:val="32"/>
          <w:rtl/>
        </w:rPr>
        <w:t xml:space="preserve"> وهو ما يُخشى وقوعه من ضرر أو هلاك. قال ابن منظور في </w:t>
      </w:r>
      <w:r w:rsidRPr="004D1766">
        <w:rPr>
          <w:rStyle w:val="Emphasis"/>
          <w:rFonts w:ascii="Traditional Arabic" w:eastAsiaTheme="majorEastAsia" w:hAnsi="Traditional Arabic" w:cs="Traditional Arabic"/>
          <w:i w:val="0"/>
          <w:iCs w:val="0"/>
          <w:sz w:val="32"/>
          <w:szCs w:val="32"/>
          <w:rtl/>
        </w:rPr>
        <w:t>لسان العرب</w:t>
      </w:r>
      <w:r w:rsidRPr="004D1766">
        <w:rPr>
          <w:rFonts w:ascii="Traditional Arabic" w:hAnsi="Traditional Arabic" w:cs="Traditional Arabic"/>
          <w:sz w:val="32"/>
          <w:szCs w:val="32"/>
          <w:rtl/>
        </w:rPr>
        <w:t>، الخَطَرُ: الهلاك، وما يُتوقَّع من المكروه</w:t>
      </w:r>
      <w:r w:rsidRPr="004D1766">
        <w:rPr>
          <w:rFonts w:ascii="Traditional Arabic" w:hAnsi="Traditional Arabic" w:cs="Traditional Arabic"/>
          <w:sz w:val="32"/>
          <w:szCs w:val="32"/>
        </w:rPr>
        <w:t>"</w:t>
      </w:r>
      <w:r>
        <w:rPr>
          <w:rFonts w:ascii="Traditional Arabic" w:hAnsi="Traditional Arabic" w:cs="Traditional Arabic" w:hint="cs"/>
          <w:sz w:val="32"/>
          <w:szCs w:val="32"/>
          <w:rtl/>
        </w:rPr>
        <w:t xml:space="preserve"> </w:t>
      </w:r>
      <w:r w:rsidRPr="0068702F">
        <w:rPr>
          <w:rFonts w:ascii="Traditional Arabic" w:hAnsi="Traditional Arabic" w:cs="Traditional Arabic"/>
          <w:sz w:val="32"/>
          <w:szCs w:val="32"/>
          <w:rtl/>
        </w:rPr>
        <w:t xml:space="preserve">(ابن منظور، محمد بن مكرم. </w:t>
      </w:r>
      <w:r w:rsidRPr="00374726">
        <w:rPr>
          <w:rFonts w:ascii="Traditional Arabic" w:hAnsi="Traditional Arabic" w:cs="Traditional Arabic"/>
          <w:rtl/>
        </w:rPr>
        <w:t>(1993</w:t>
      </w:r>
      <w:r w:rsidRPr="0068702F">
        <w:rPr>
          <w:rFonts w:ascii="Traditional Arabic" w:hAnsi="Traditional Arabic" w:cs="Traditional Arabic"/>
          <w:sz w:val="32"/>
          <w:szCs w:val="32"/>
          <w:rtl/>
        </w:rPr>
        <w:t xml:space="preserve">). </w:t>
      </w:r>
      <w:bookmarkStart w:id="6" w:name="_Hlk209904799"/>
    </w:p>
    <w:bookmarkEnd w:id="6"/>
    <w:p w14:paraId="4AE03B18" w14:textId="77777777" w:rsidR="00326DB9" w:rsidRPr="004D1766" w:rsidRDefault="00326DB9" w:rsidP="00D132F3">
      <w:pPr>
        <w:pStyle w:val="NormalWeb"/>
        <w:bidi/>
        <w:spacing w:before="0" w:beforeAutospacing="0" w:after="0" w:afterAutospacing="0"/>
        <w:jc w:val="lowKashida"/>
        <w:rPr>
          <w:rFonts w:ascii="Traditional Arabic" w:hAnsi="Traditional Arabic" w:cs="Traditional Arabic"/>
          <w:sz w:val="32"/>
          <w:szCs w:val="32"/>
          <w:rtl/>
        </w:rPr>
      </w:pPr>
      <w:r w:rsidRPr="004D1766">
        <w:rPr>
          <w:rFonts w:ascii="Traditional Arabic" w:hAnsi="Traditional Arabic" w:cs="Traditional Arabic"/>
          <w:b/>
          <w:bCs/>
          <w:sz w:val="32"/>
          <w:szCs w:val="32"/>
          <w:rtl/>
        </w:rPr>
        <w:t>الائتمان</w:t>
      </w:r>
      <w:r w:rsidRPr="004D1766">
        <w:rPr>
          <w:rFonts w:ascii="Traditional Arabic" w:hAnsi="Traditional Arabic" w:cs="Traditional Arabic"/>
          <w:sz w:val="32"/>
          <w:szCs w:val="32"/>
          <w:rtl/>
        </w:rPr>
        <w:t xml:space="preserve">": من الأمن، أي الاطمئنان إلى الشخص والوثوق به. جاء في </w:t>
      </w:r>
      <w:r w:rsidRPr="004D1766">
        <w:rPr>
          <w:rStyle w:val="Emphasis"/>
          <w:rFonts w:ascii="Traditional Arabic" w:eastAsiaTheme="majorEastAsia" w:hAnsi="Traditional Arabic" w:cs="Traditional Arabic"/>
          <w:i w:val="0"/>
          <w:iCs w:val="0"/>
          <w:sz w:val="32"/>
          <w:szCs w:val="32"/>
          <w:rtl/>
        </w:rPr>
        <w:t>المعجم الوسيط</w:t>
      </w:r>
      <w:r w:rsidRPr="004D1766">
        <w:rPr>
          <w:rFonts w:ascii="Traditional Arabic" w:hAnsi="Traditional Arabic" w:cs="Traditional Arabic"/>
          <w:sz w:val="32"/>
          <w:szCs w:val="32"/>
          <w:rtl/>
        </w:rPr>
        <w:t>، الائتمان: جعل الشخص أمينًا، يقال: ائتمنه على الشيء إذا وثق به وسلمه إياه</w:t>
      </w:r>
      <w:r>
        <w:rPr>
          <w:rFonts w:ascii="Traditional Arabic" w:hAnsi="Traditional Arabic" w:cs="Traditional Arabic" w:hint="cs"/>
          <w:sz w:val="32"/>
          <w:szCs w:val="32"/>
          <w:rtl/>
        </w:rPr>
        <w:t xml:space="preserve">، </w:t>
      </w:r>
      <w:r w:rsidRPr="0000026F">
        <w:rPr>
          <w:rFonts w:asciiTheme="majorBidi" w:hAnsiTheme="majorBidi" w:cstheme="majorBidi"/>
          <w:rtl/>
        </w:rPr>
        <w:t>(</w:t>
      </w:r>
      <w:r w:rsidRPr="00374726">
        <w:rPr>
          <w:rFonts w:ascii="Garamond" w:hAnsi="Garamond" w:cstheme="majorBidi"/>
        </w:rPr>
        <w:t>Academy of the Arabic Language in Cairo, 2004</w:t>
      </w:r>
      <w:r w:rsidRPr="0000026F">
        <w:rPr>
          <w:rFonts w:asciiTheme="majorBidi" w:hAnsiTheme="majorBidi" w:cstheme="majorBidi"/>
          <w:rtl/>
        </w:rPr>
        <w:t xml:space="preserve">). </w:t>
      </w:r>
    </w:p>
    <w:p w14:paraId="1747E9E1" w14:textId="64122F0E" w:rsidR="00326DB9" w:rsidRDefault="00326DB9" w:rsidP="00D132F3">
      <w:pPr>
        <w:bidi/>
        <w:spacing w:after="0" w:line="240" w:lineRule="auto"/>
        <w:jc w:val="lowKashida"/>
        <w:outlineLvl w:val="2"/>
        <w:rPr>
          <w:rFonts w:ascii="Traditional Arabic" w:hAnsi="Traditional Arabic" w:cs="Traditional Arabic"/>
          <w:sz w:val="32"/>
          <w:szCs w:val="32"/>
          <w:rtl/>
        </w:rPr>
      </w:pPr>
      <w:r w:rsidRPr="004D1766">
        <w:rPr>
          <w:rFonts w:ascii="Traditional Arabic" w:hAnsi="Traditional Arabic" w:cs="Traditional Arabic"/>
          <w:b/>
          <w:bCs/>
          <w:sz w:val="32"/>
          <w:szCs w:val="32"/>
        </w:rPr>
        <w:t xml:space="preserve">- </w:t>
      </w:r>
      <w:r w:rsidRPr="004D1766">
        <w:rPr>
          <w:rFonts w:ascii="Traditional Arabic" w:hAnsi="Traditional Arabic" w:cs="Traditional Arabic"/>
          <w:b/>
          <w:bCs/>
          <w:sz w:val="32"/>
          <w:szCs w:val="32"/>
          <w:rtl/>
        </w:rPr>
        <w:t xml:space="preserve">اصطلاحًا: </w:t>
      </w:r>
      <w:r w:rsidRPr="004D1766">
        <w:rPr>
          <w:rFonts w:ascii="Traditional Arabic" w:hAnsi="Traditional Arabic" w:cs="Traditional Arabic"/>
          <w:sz w:val="32"/>
          <w:szCs w:val="32"/>
          <w:rtl/>
        </w:rPr>
        <w:t>المخاطر الائتمانية هي</w:t>
      </w:r>
      <w:r w:rsidRPr="004D1766">
        <w:rPr>
          <w:rFonts w:ascii="Traditional Arabic" w:hAnsi="Traditional Arabic" w:cs="Traditional Arabic"/>
          <w:sz w:val="32"/>
          <w:szCs w:val="32"/>
        </w:rPr>
        <w:t>:</w:t>
      </w:r>
      <w:r w:rsidRPr="004D1766">
        <w:rPr>
          <w:rFonts w:ascii="Traditional Arabic" w:hAnsi="Traditional Arabic" w:cs="Traditional Arabic"/>
          <w:b/>
          <w:bCs/>
          <w:sz w:val="32"/>
          <w:szCs w:val="32"/>
          <w:rtl/>
        </w:rPr>
        <w:t xml:space="preserve"> </w:t>
      </w:r>
      <w:r w:rsidRPr="004D1766">
        <w:rPr>
          <w:rFonts w:ascii="Traditional Arabic" w:hAnsi="Traditional Arabic" w:cs="Traditional Arabic"/>
          <w:sz w:val="32"/>
          <w:szCs w:val="32"/>
          <w:rtl/>
        </w:rPr>
        <w:t xml:space="preserve"> تكبّد المؤسسة المالية لخسائر نتيجة عجز المقترض عن سداد التزاماته أو عدم رغبته في السداد وفقاً للشروط المتفق </w:t>
      </w:r>
      <w:r w:rsidRPr="004D1766">
        <w:rPr>
          <w:rFonts w:ascii="Traditional Arabic" w:hAnsi="Traditional Arabic" w:cs="Traditional Arabic" w:hint="cs"/>
          <w:sz w:val="32"/>
          <w:szCs w:val="32"/>
          <w:rtl/>
        </w:rPr>
        <w:t>عليها</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w:t>
      </w:r>
      <w:r>
        <w:rPr>
          <w:rFonts w:ascii="Traditional Arabic" w:hAnsi="Traditional Arabic" w:cs="Traditional Arabic"/>
          <w:sz w:val="32"/>
          <w:szCs w:val="32"/>
        </w:rPr>
        <w:t>(</w:t>
      </w:r>
      <w:r w:rsidRPr="00374726">
        <w:rPr>
          <w:rFonts w:ascii="Garamond" w:hAnsi="Garamond" w:cstheme="majorBidi"/>
        </w:rPr>
        <w:t>Basel Committee on Banking Supervision</w:t>
      </w:r>
      <w:r w:rsidR="00374726">
        <w:rPr>
          <w:rFonts w:ascii="Garamond" w:hAnsi="Garamond" w:cs="Traditional Arabic"/>
        </w:rPr>
        <w:t>,</w:t>
      </w:r>
      <w:r w:rsidRPr="00374726">
        <w:rPr>
          <w:rFonts w:ascii="Garamond" w:hAnsi="Garamond" w:cs="Traditional Arabic"/>
        </w:rPr>
        <w:t xml:space="preserve"> 2000</w:t>
      </w:r>
      <w:r>
        <w:rPr>
          <w:rFonts w:ascii="Traditional Arabic" w:hAnsi="Traditional Arabic" w:cs="Traditional Arabic" w:hint="cs"/>
          <w:sz w:val="32"/>
          <w:szCs w:val="32"/>
          <w:rtl/>
        </w:rPr>
        <w:t>.</w:t>
      </w:r>
    </w:p>
    <w:p w14:paraId="488604D4" w14:textId="77777777" w:rsidR="007B69CB" w:rsidRDefault="007B69CB" w:rsidP="007B69CB">
      <w:pPr>
        <w:bidi/>
        <w:spacing w:after="0" w:line="240" w:lineRule="auto"/>
        <w:jc w:val="lowKashida"/>
        <w:outlineLvl w:val="2"/>
        <w:rPr>
          <w:rFonts w:ascii="Traditional Arabic" w:hAnsi="Traditional Arabic" w:cs="Traditional Arabic"/>
          <w:sz w:val="32"/>
          <w:szCs w:val="32"/>
        </w:rPr>
      </w:pPr>
    </w:p>
    <w:p w14:paraId="63C9B80D" w14:textId="58741660" w:rsidR="00E64BC2" w:rsidRPr="008D43E6" w:rsidRDefault="00326DB9" w:rsidP="00E64BC2">
      <w:pPr>
        <w:bidi/>
        <w:spacing w:after="0" w:line="240" w:lineRule="auto"/>
        <w:jc w:val="lowKashida"/>
        <w:rPr>
          <w:rFonts w:ascii="Traditional Arabic" w:hAnsi="Traditional Arabic" w:cs="Traditional Arabic"/>
          <w:b/>
          <w:bCs/>
          <w:sz w:val="32"/>
          <w:szCs w:val="32"/>
        </w:rPr>
      </w:pPr>
      <w:r>
        <w:rPr>
          <w:rFonts w:ascii="Traditional Arabic" w:hAnsi="Traditional Arabic" w:cs="Traditional Arabic" w:hint="cs"/>
          <w:b/>
          <w:bCs/>
          <w:sz w:val="36"/>
          <w:szCs w:val="36"/>
          <w:rtl/>
        </w:rPr>
        <w:t xml:space="preserve">المبحث الثاني: </w:t>
      </w:r>
      <w:r w:rsidRPr="008D43E6">
        <w:rPr>
          <w:rFonts w:ascii="Traditional Arabic" w:hAnsi="Traditional Arabic" w:cs="Traditional Arabic" w:hint="cs"/>
          <w:b/>
          <w:bCs/>
          <w:sz w:val="32"/>
          <w:szCs w:val="32"/>
          <w:rtl/>
        </w:rPr>
        <w:t xml:space="preserve">واقع </w:t>
      </w:r>
      <w:r w:rsidRPr="008D43E6">
        <w:rPr>
          <w:rFonts w:ascii="Traditional Arabic" w:hAnsi="Traditional Arabic" w:cs="Traditional Arabic"/>
          <w:b/>
          <w:bCs/>
          <w:sz w:val="32"/>
          <w:szCs w:val="32"/>
          <w:rtl/>
        </w:rPr>
        <w:t>التحول الرقمي لنظم المعلومات المحاسبية في البنوك الإسلامية الكويتية، وأبرز التحديات التي تواجه تطبيقها</w:t>
      </w:r>
      <w:r w:rsidRPr="008D43E6">
        <w:rPr>
          <w:rFonts w:ascii="Traditional Arabic" w:hAnsi="Traditional Arabic" w:cs="Traditional Arabic" w:hint="cs"/>
          <w:b/>
          <w:bCs/>
          <w:sz w:val="32"/>
          <w:szCs w:val="32"/>
          <w:rtl/>
        </w:rPr>
        <w:t>.</w:t>
      </w:r>
    </w:p>
    <w:p w14:paraId="14042305" w14:textId="77777777" w:rsidR="00326DB9" w:rsidRPr="008771D3" w:rsidRDefault="00326DB9" w:rsidP="00D132F3">
      <w:pPr>
        <w:pStyle w:val="NormalWeb"/>
        <w:bidi/>
        <w:spacing w:before="0" w:beforeAutospacing="0" w:after="0" w:afterAutospacing="0"/>
        <w:jc w:val="lowKashida"/>
        <w:rPr>
          <w:rFonts w:ascii="Traditional Arabic" w:hAnsi="Traditional Arabic" w:cs="Traditional Arabic"/>
          <w:sz w:val="32"/>
          <w:szCs w:val="32"/>
        </w:rPr>
      </w:pPr>
      <w:r w:rsidRPr="008771D3">
        <w:rPr>
          <w:rFonts w:ascii="Traditional Arabic" w:hAnsi="Traditional Arabic" w:cs="Traditional Arabic"/>
          <w:sz w:val="32"/>
          <w:szCs w:val="32"/>
          <w:rtl/>
        </w:rPr>
        <w:t>واقع التحول الرقمي لنظم المعلومات المحاسبية في البنوك الإسلامية الكويتية</w:t>
      </w:r>
      <w:r>
        <w:rPr>
          <w:rFonts w:ascii="Traditional Arabic" w:hAnsi="Traditional Arabic" w:cs="Traditional Arabic" w:hint="cs"/>
          <w:sz w:val="32"/>
          <w:szCs w:val="32"/>
          <w:rtl/>
        </w:rPr>
        <w:t xml:space="preserve">: </w:t>
      </w:r>
      <w:r w:rsidRPr="008771D3">
        <w:rPr>
          <w:rFonts w:ascii="Traditional Arabic" w:hAnsi="Traditional Arabic" w:cs="Traditional Arabic"/>
          <w:sz w:val="32"/>
          <w:szCs w:val="32"/>
          <w:rtl/>
        </w:rPr>
        <w:t>يشهد القطاع المصرفي الكويتي، بما في ذلك البنوك الإسلامية، تسارعًا في وتيرة التحول الرقمي مدفوعًا بالعديد من العوامل، أبرزها التطور التكنولوجي، تزايد توقعات العملاء، المنافسة الشديدة، والضغوط التنظيمية. وفي هذا السياق، تلعب نظم المعلومات المحاسبية</w:t>
      </w:r>
      <w:r w:rsidRPr="008771D3">
        <w:rPr>
          <w:rFonts w:ascii="Traditional Arabic" w:hAnsi="Traditional Arabic" w:cs="Traditional Arabic"/>
          <w:sz w:val="32"/>
          <w:szCs w:val="32"/>
        </w:rPr>
        <w:t xml:space="preserve"> </w:t>
      </w:r>
      <w:r w:rsidRPr="008771D3">
        <w:rPr>
          <w:rFonts w:ascii="Traditional Arabic" w:hAnsi="Traditional Arabic" w:cs="Traditional Arabic"/>
          <w:sz w:val="32"/>
          <w:szCs w:val="32"/>
          <w:rtl/>
        </w:rPr>
        <w:t xml:space="preserve">دورًا محوريًا، حيث أنها تشكل العمود الفقري لجمع ومعالجة وتوفير البيانات المالية وغير المالية اللازمة لعمليات البيدء واتخاذ </w:t>
      </w:r>
      <w:r w:rsidRPr="008771D3">
        <w:rPr>
          <w:rFonts w:ascii="Traditional Arabic" w:hAnsi="Traditional Arabic" w:cs="Traditional Arabic" w:hint="cs"/>
          <w:sz w:val="32"/>
          <w:szCs w:val="32"/>
          <w:rtl/>
        </w:rPr>
        <w:t>القرارات،</w:t>
      </w:r>
      <w:r w:rsidRPr="008771D3">
        <w:rPr>
          <w:rFonts w:ascii="Traditional Arabic" w:hAnsi="Traditional Arabic" w:cs="Traditional Arabic"/>
          <w:sz w:val="32"/>
          <w:szCs w:val="32"/>
        </w:rPr>
        <w:t xml:space="preserve"> (</w:t>
      </w:r>
      <w:r w:rsidRPr="00374726">
        <w:rPr>
          <w:rFonts w:ascii="Garamond" w:hAnsi="Garamond" w:cs="Traditional Arabic"/>
        </w:rPr>
        <w:t>Romney &amp; Steinbart, 2021</w:t>
      </w:r>
      <w:r w:rsidRPr="008771D3">
        <w:rPr>
          <w:rFonts w:ascii="Traditional Arabic" w:hAnsi="Traditional Arabic" w:cs="Traditional Arabic"/>
          <w:sz w:val="32"/>
          <w:szCs w:val="32"/>
        </w:rPr>
        <w:t>)</w:t>
      </w:r>
      <w:r>
        <w:rPr>
          <w:rFonts w:ascii="Traditional Arabic" w:hAnsi="Traditional Arabic" w:cs="Traditional Arabic" w:hint="cs"/>
          <w:sz w:val="32"/>
          <w:szCs w:val="32"/>
          <w:rtl/>
        </w:rPr>
        <w:t xml:space="preserve">، </w:t>
      </w:r>
      <w:r w:rsidRPr="008771D3">
        <w:rPr>
          <w:rFonts w:ascii="Traditional Arabic" w:hAnsi="Traditional Arabic" w:cs="Traditional Arabic"/>
          <w:sz w:val="32"/>
          <w:szCs w:val="32"/>
          <w:rtl/>
        </w:rPr>
        <w:t>يمكن تحليل واقع التحول الرقمي لنظم المعلومات المحاسبية في البنوك الإسلامية الكويتية من عدة أبعاد</w:t>
      </w:r>
      <w:r w:rsidRPr="008771D3">
        <w:rPr>
          <w:rFonts w:ascii="Traditional Arabic" w:hAnsi="Traditional Arabic" w:cs="Traditional Arabic"/>
          <w:sz w:val="32"/>
          <w:szCs w:val="32"/>
        </w:rPr>
        <w:t>:</w:t>
      </w:r>
    </w:p>
    <w:p w14:paraId="7DC021E6" w14:textId="77777777" w:rsidR="00326DB9" w:rsidRPr="008771D3" w:rsidRDefault="00326DB9" w:rsidP="00D132F3">
      <w:pPr>
        <w:pStyle w:val="NormalWeb"/>
        <w:bidi/>
        <w:spacing w:before="0" w:beforeAutospacing="0" w:after="0" w:afterAutospacing="0"/>
        <w:jc w:val="lowKashida"/>
        <w:rPr>
          <w:rFonts w:ascii="Traditional Arabic" w:hAnsi="Traditional Arabic" w:cs="Traditional Arabic"/>
          <w:sz w:val="32"/>
          <w:szCs w:val="32"/>
        </w:rPr>
      </w:pPr>
      <w:r w:rsidRPr="007E0060">
        <w:rPr>
          <w:rFonts w:ascii="Traditional Arabic" w:hAnsi="Traditional Arabic" w:cs="Traditional Arabic"/>
          <w:noProof/>
          <w:sz w:val="32"/>
          <w:szCs w:val="32"/>
        </w:rPr>
        <w:lastRenderedPageBreak/>
        <w:drawing>
          <wp:anchor distT="0" distB="0" distL="114300" distR="114300" simplePos="0" relativeHeight="251660288" behindDoc="1" locked="0" layoutInCell="1" allowOverlap="1" wp14:anchorId="68FBE4E7" wp14:editId="26DD9CDE">
            <wp:simplePos x="0" y="0"/>
            <wp:positionH relativeFrom="column">
              <wp:posOffset>-552450</wp:posOffset>
            </wp:positionH>
            <wp:positionV relativeFrom="paragraph">
              <wp:posOffset>-2727960</wp:posOffset>
            </wp:positionV>
            <wp:extent cx="7141845" cy="4114800"/>
            <wp:effectExtent l="0" t="0" r="1905" b="0"/>
            <wp:wrapTight wrapText="bothSides">
              <wp:wrapPolygon edited="0">
                <wp:start x="0" y="0"/>
                <wp:lineTo x="0" y="21500"/>
                <wp:lineTo x="21548" y="21500"/>
                <wp:lineTo x="21548" y="0"/>
                <wp:lineTo x="0" y="0"/>
              </wp:wrapPolygon>
            </wp:wrapTight>
            <wp:docPr id="2063373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41845" cy="4114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raditional Arabic" w:hAnsi="Traditional Arabic" w:cs="Traditional Arabic" w:hint="cs"/>
          <w:b/>
          <w:bCs/>
          <w:sz w:val="32"/>
          <w:szCs w:val="32"/>
          <w:rtl/>
        </w:rPr>
        <w:t>أولاً:</w:t>
      </w:r>
      <w:r w:rsidRPr="00E66CD4">
        <w:rPr>
          <w:rFonts w:ascii="Traditional Arabic" w:hAnsi="Traditional Arabic" w:cs="Traditional Arabic" w:hint="cs"/>
          <w:b/>
          <w:bCs/>
          <w:sz w:val="32"/>
          <w:szCs w:val="32"/>
          <w:rtl/>
        </w:rPr>
        <w:t xml:space="preserve"> </w:t>
      </w:r>
      <w:r w:rsidRPr="007E0060">
        <w:rPr>
          <w:rFonts w:ascii="Traditional Arabic" w:hAnsi="Traditional Arabic" w:cs="Traditional Arabic"/>
          <w:b/>
          <w:bCs/>
          <w:sz w:val="32"/>
          <w:szCs w:val="32"/>
          <w:rtl/>
        </w:rPr>
        <w:t>البنية التحتية والتقنيات المعتمدة</w:t>
      </w:r>
      <w:r w:rsidRPr="008771D3">
        <w:rPr>
          <w:rFonts w:ascii="Traditional Arabic" w:hAnsi="Traditional Arabic" w:cs="Traditional Arabic"/>
          <w:sz w:val="32"/>
          <w:szCs w:val="32"/>
        </w:rPr>
        <w:t>:</w:t>
      </w:r>
    </w:p>
    <w:p w14:paraId="4EE15F67" w14:textId="77777777" w:rsidR="00326DB9" w:rsidRDefault="00326DB9" w:rsidP="00D132F3">
      <w:pPr>
        <w:pStyle w:val="NormalWeb"/>
        <w:bidi/>
        <w:spacing w:before="0" w:beforeAutospacing="0" w:after="0" w:afterAutospacing="0"/>
        <w:ind w:left="360"/>
        <w:jc w:val="lowKashida"/>
        <w:rPr>
          <w:rFonts w:ascii="Traditional Arabic" w:hAnsi="Traditional Arabic" w:cs="Traditional Arabic"/>
          <w:sz w:val="32"/>
          <w:szCs w:val="32"/>
        </w:rPr>
      </w:pPr>
      <w:r w:rsidRPr="00386017">
        <w:rPr>
          <w:rFonts w:ascii="Traditional Arabic" w:hAnsi="Traditional Arabic" w:cs="Traditional Arabic" w:hint="cs"/>
          <w:b/>
          <w:bCs/>
          <w:sz w:val="32"/>
          <w:szCs w:val="32"/>
          <w:rtl/>
        </w:rPr>
        <w:t>الشكل رقم (1)</w:t>
      </w:r>
      <w:r>
        <w:rPr>
          <w:rFonts w:ascii="Traditional Arabic" w:hAnsi="Traditional Arabic" w:cs="Traditional Arabic" w:hint="cs"/>
          <w:sz w:val="32"/>
          <w:szCs w:val="32"/>
          <w:rtl/>
        </w:rPr>
        <w:t xml:space="preserve"> </w:t>
      </w:r>
      <w:r w:rsidRPr="00386017">
        <w:rPr>
          <w:rFonts w:ascii="Traditional Arabic" w:hAnsi="Traditional Arabic" w:cs="Traditional Arabic" w:hint="cs"/>
          <w:b/>
          <w:bCs/>
          <w:sz w:val="32"/>
          <w:szCs w:val="32"/>
          <w:rtl/>
        </w:rPr>
        <w:t>يوضح البنية التحتية والتقنيات المالية الحديثة</w:t>
      </w:r>
      <w:r>
        <w:rPr>
          <w:rFonts w:ascii="Traditional Arabic" w:hAnsi="Traditional Arabic" w:cs="Traditional Arabic" w:hint="cs"/>
          <w:sz w:val="32"/>
          <w:szCs w:val="32"/>
          <w:rtl/>
        </w:rPr>
        <w:t>:</w:t>
      </w:r>
    </w:p>
    <w:p w14:paraId="3715CD28" w14:textId="77777777" w:rsidR="00326DB9" w:rsidRPr="008771D3" w:rsidRDefault="00326DB9" w:rsidP="00D132F3">
      <w:pPr>
        <w:pStyle w:val="NormalWeb"/>
        <w:numPr>
          <w:ilvl w:val="0"/>
          <w:numId w:val="15"/>
        </w:numPr>
        <w:bidi/>
        <w:spacing w:before="0" w:beforeAutospacing="0" w:after="0" w:afterAutospacing="0"/>
        <w:jc w:val="lowKashida"/>
        <w:rPr>
          <w:rFonts w:ascii="Traditional Arabic" w:hAnsi="Traditional Arabic" w:cs="Traditional Arabic"/>
          <w:sz w:val="32"/>
          <w:szCs w:val="32"/>
        </w:rPr>
      </w:pPr>
      <w:r w:rsidRPr="007E0060">
        <w:rPr>
          <w:rFonts w:ascii="Traditional Arabic" w:hAnsi="Traditional Arabic" w:cs="Traditional Arabic"/>
          <w:b/>
          <w:bCs/>
          <w:sz w:val="32"/>
          <w:szCs w:val="32"/>
          <w:rtl/>
        </w:rPr>
        <w:t>الأنظمة الأساسية</w:t>
      </w:r>
      <w:r w:rsidRPr="008771D3">
        <w:rPr>
          <w:rFonts w:ascii="Traditional Arabic" w:hAnsi="Traditional Arabic" w:cs="Traditional Arabic"/>
          <w:sz w:val="32"/>
          <w:szCs w:val="32"/>
        </w:rPr>
        <w:t xml:space="preserve"> (</w:t>
      </w:r>
      <w:r w:rsidRPr="00374726">
        <w:rPr>
          <w:rFonts w:ascii="Garamond" w:hAnsi="Garamond" w:cs="Traditional Arabic"/>
        </w:rPr>
        <w:t>Core Banking Systems</w:t>
      </w:r>
      <w:r w:rsidRPr="008771D3">
        <w:rPr>
          <w:rFonts w:ascii="Traditional Arabic" w:hAnsi="Traditional Arabic" w:cs="Traditional Arabic"/>
          <w:sz w:val="32"/>
          <w:szCs w:val="32"/>
        </w:rPr>
        <w:t xml:space="preserve">): </w:t>
      </w:r>
      <w:r w:rsidRPr="008771D3">
        <w:rPr>
          <w:rFonts w:ascii="Traditional Arabic" w:hAnsi="Traditional Arabic" w:cs="Traditional Arabic"/>
          <w:sz w:val="32"/>
          <w:szCs w:val="32"/>
          <w:rtl/>
        </w:rPr>
        <w:t>بدأت البنوك الإسلامية الكويتية، على غرار نظيراتها التقليدية، في تحديث أنظمتها المصرفية الأساسية لتدعم العمليات الرقمية المتكاملة. هذه الأنظمة تُعد حجر الزاوية الذي تتصل به نظم المعلومات المحاسبية، مما يسمح بأتمتة القيود المحاسبية وتوليد التقارير بشكل أسرع وأكثر دقة</w:t>
      </w:r>
      <w:r w:rsidRPr="008771D3">
        <w:rPr>
          <w:rFonts w:ascii="Traditional Arabic" w:hAnsi="Traditional Arabic" w:cs="Traditional Arabic"/>
          <w:sz w:val="32"/>
          <w:szCs w:val="32"/>
        </w:rPr>
        <w:t xml:space="preserve"> (</w:t>
      </w:r>
      <w:r w:rsidRPr="00374726">
        <w:rPr>
          <w:rFonts w:ascii="Garamond" w:hAnsi="Garamond" w:cstheme="majorBidi"/>
        </w:rPr>
        <w:t>Al</w:t>
      </w:r>
      <w:r w:rsidRPr="00E62D71">
        <w:rPr>
          <w:rFonts w:asciiTheme="majorBidi" w:hAnsiTheme="majorBidi" w:cstheme="majorBidi"/>
        </w:rPr>
        <w:t>-</w:t>
      </w:r>
      <w:r w:rsidRPr="00374726">
        <w:rPr>
          <w:rFonts w:ascii="Garamond" w:hAnsi="Garamond" w:cstheme="majorBidi"/>
        </w:rPr>
        <w:t>Hussaini &amp; Al-Rashid, 201</w:t>
      </w:r>
      <w:r w:rsidRPr="00E62D71">
        <w:rPr>
          <w:rFonts w:asciiTheme="majorBidi" w:hAnsiTheme="majorBidi" w:cstheme="majorBidi"/>
        </w:rPr>
        <w:t>9</w:t>
      </w:r>
      <w:r w:rsidRPr="008771D3">
        <w:rPr>
          <w:rFonts w:ascii="Traditional Arabic" w:hAnsi="Traditional Arabic" w:cs="Traditional Arabic"/>
          <w:sz w:val="32"/>
          <w:szCs w:val="32"/>
        </w:rPr>
        <w:t xml:space="preserve">). </w:t>
      </w:r>
      <w:r w:rsidRPr="008771D3">
        <w:rPr>
          <w:rFonts w:ascii="Traditional Arabic" w:hAnsi="Traditional Arabic" w:cs="Traditional Arabic"/>
          <w:sz w:val="32"/>
          <w:szCs w:val="32"/>
          <w:rtl/>
        </w:rPr>
        <w:t>الكثير من هذه الأنظمة يتم تطويرها أو تخصيصها لتتوافق مع متطلبات الشريعة الإسلامية</w:t>
      </w:r>
      <w:r w:rsidRPr="008771D3">
        <w:rPr>
          <w:rFonts w:ascii="Traditional Arabic" w:hAnsi="Traditional Arabic" w:cs="Traditional Arabic"/>
          <w:sz w:val="32"/>
          <w:szCs w:val="32"/>
        </w:rPr>
        <w:t>.</w:t>
      </w:r>
    </w:p>
    <w:p w14:paraId="5A6C5018" w14:textId="4CA6B93E" w:rsidR="00326DB9" w:rsidRDefault="00326DB9" w:rsidP="00D132F3">
      <w:pPr>
        <w:pStyle w:val="NormalWeb"/>
        <w:numPr>
          <w:ilvl w:val="0"/>
          <w:numId w:val="15"/>
        </w:numPr>
        <w:bidi/>
        <w:spacing w:before="0" w:beforeAutospacing="0" w:after="0" w:afterAutospacing="0"/>
        <w:jc w:val="lowKashida"/>
        <w:rPr>
          <w:rFonts w:ascii="Traditional Arabic" w:hAnsi="Traditional Arabic" w:cs="Traditional Arabic"/>
          <w:sz w:val="32"/>
          <w:szCs w:val="32"/>
        </w:rPr>
      </w:pPr>
      <w:r w:rsidRPr="007E0060">
        <w:rPr>
          <w:rFonts w:ascii="Traditional Arabic" w:hAnsi="Traditional Arabic" w:cs="Traditional Arabic"/>
          <w:b/>
          <w:bCs/>
          <w:sz w:val="32"/>
          <w:szCs w:val="32"/>
          <w:rtl/>
        </w:rPr>
        <w:t xml:space="preserve">الحوسبة </w:t>
      </w:r>
      <w:r w:rsidRPr="007E0060">
        <w:rPr>
          <w:rFonts w:ascii="Traditional Arabic" w:hAnsi="Traditional Arabic" w:cs="Traditional Arabic" w:hint="cs"/>
          <w:b/>
          <w:bCs/>
          <w:sz w:val="32"/>
          <w:szCs w:val="32"/>
          <w:rtl/>
        </w:rPr>
        <w:t>السحابية</w:t>
      </w:r>
      <w:r w:rsidRPr="008771D3">
        <w:rPr>
          <w:rFonts w:ascii="Traditional Arabic" w:hAnsi="Traditional Arabic" w:cs="Traditional Arabic"/>
          <w:sz w:val="32"/>
          <w:szCs w:val="32"/>
        </w:rPr>
        <w:t xml:space="preserve">: </w:t>
      </w:r>
      <w:r w:rsidRPr="008771D3">
        <w:rPr>
          <w:rFonts w:ascii="Traditional Arabic" w:hAnsi="Traditional Arabic" w:cs="Traditional Arabic"/>
          <w:sz w:val="32"/>
          <w:szCs w:val="32"/>
          <w:rtl/>
        </w:rPr>
        <w:t>تتجه بعض البنوك نحو تبني حلول الحوسبة السحابية لنظم معلوماتها المحاسبية، أو جزء منها، لزيادة المرونة وتقليل تكاليف التشغيل وتحسين قابلية التوسع. ومع ذلك، قد تظل هناك تحفظات لدى البعض بسبب المخاوف المتعلقة بالأمن السيبراني والامتثال التنظيمي للبيانات الحساسة</w:t>
      </w:r>
      <w:r w:rsidRPr="008771D3">
        <w:rPr>
          <w:rFonts w:ascii="Traditional Arabic" w:hAnsi="Traditional Arabic" w:cs="Traditional Arabic"/>
          <w:sz w:val="32"/>
          <w:szCs w:val="32"/>
        </w:rPr>
        <w:t xml:space="preserve"> (</w:t>
      </w:r>
      <w:r w:rsidRPr="00374726">
        <w:rPr>
          <w:rFonts w:ascii="Garamond" w:hAnsi="Garamond" w:cstheme="majorBidi"/>
        </w:rPr>
        <w:t>Al-Enezi, 2022</w:t>
      </w:r>
      <w:r w:rsidRPr="008771D3">
        <w:rPr>
          <w:rFonts w:ascii="Traditional Arabic" w:hAnsi="Traditional Arabic" w:cs="Traditional Arabic"/>
          <w:sz w:val="32"/>
          <w:szCs w:val="32"/>
        </w:rPr>
        <w:t>).</w:t>
      </w:r>
    </w:p>
    <w:p w14:paraId="331D564B" w14:textId="77777777" w:rsidR="00E64BC2" w:rsidRPr="008771D3" w:rsidRDefault="00E64BC2" w:rsidP="00E64BC2">
      <w:pPr>
        <w:pStyle w:val="NormalWeb"/>
        <w:bidi/>
        <w:spacing w:before="0" w:beforeAutospacing="0" w:after="0" w:afterAutospacing="0"/>
        <w:ind w:left="360"/>
        <w:jc w:val="lowKashida"/>
        <w:rPr>
          <w:rFonts w:ascii="Traditional Arabic" w:hAnsi="Traditional Arabic" w:cs="Traditional Arabic"/>
          <w:sz w:val="32"/>
          <w:szCs w:val="32"/>
        </w:rPr>
      </w:pPr>
    </w:p>
    <w:p w14:paraId="08499D63" w14:textId="77777777" w:rsidR="00326DB9" w:rsidRPr="008771D3" w:rsidRDefault="00326DB9" w:rsidP="00D132F3">
      <w:pPr>
        <w:pStyle w:val="NormalWeb"/>
        <w:numPr>
          <w:ilvl w:val="0"/>
          <w:numId w:val="15"/>
        </w:numPr>
        <w:bidi/>
        <w:spacing w:before="0" w:beforeAutospacing="0" w:after="0" w:afterAutospacing="0"/>
        <w:jc w:val="lowKashida"/>
        <w:rPr>
          <w:rFonts w:ascii="Traditional Arabic" w:hAnsi="Traditional Arabic" w:cs="Traditional Arabic"/>
          <w:sz w:val="32"/>
          <w:szCs w:val="32"/>
        </w:rPr>
      </w:pPr>
      <w:r w:rsidRPr="007E0060">
        <w:rPr>
          <w:rFonts w:ascii="Traditional Arabic" w:hAnsi="Traditional Arabic" w:cs="Traditional Arabic"/>
          <w:b/>
          <w:bCs/>
          <w:sz w:val="32"/>
          <w:szCs w:val="32"/>
          <w:rtl/>
        </w:rPr>
        <w:lastRenderedPageBreak/>
        <w:t>الذكاء الاصطناعي</w:t>
      </w:r>
      <w:r w:rsidRPr="008771D3">
        <w:rPr>
          <w:rFonts w:ascii="Traditional Arabic" w:hAnsi="Traditional Arabic" w:cs="Traditional Arabic"/>
          <w:sz w:val="32"/>
          <w:szCs w:val="32"/>
        </w:rPr>
        <w:t xml:space="preserve"> (AI) </w:t>
      </w:r>
      <w:r w:rsidRPr="008771D3">
        <w:rPr>
          <w:rFonts w:ascii="Traditional Arabic" w:hAnsi="Traditional Arabic" w:cs="Traditional Arabic"/>
          <w:sz w:val="32"/>
          <w:szCs w:val="32"/>
          <w:rtl/>
        </w:rPr>
        <w:t>والتعلم الآلي</w:t>
      </w:r>
      <w:r w:rsidRPr="008771D3">
        <w:rPr>
          <w:rFonts w:ascii="Traditional Arabic" w:hAnsi="Traditional Arabic" w:cs="Traditional Arabic"/>
          <w:sz w:val="32"/>
          <w:szCs w:val="32"/>
        </w:rPr>
        <w:t xml:space="preserve"> : </w:t>
      </w:r>
      <w:r w:rsidRPr="008771D3">
        <w:rPr>
          <w:rFonts w:ascii="Traditional Arabic" w:hAnsi="Traditional Arabic" w:cs="Traditional Arabic"/>
          <w:sz w:val="32"/>
          <w:szCs w:val="32"/>
          <w:rtl/>
        </w:rPr>
        <w:t>يتم استكشاف وتطبيق هذه التقنيات بشكل متزايد في مجالات مثل أتمتة المطابقة المحاسبية، تحليل البيانات الضخمة للكشف عن الاحتيال، وتحسين دقة التنبؤات المالية. يمكن أن يؤثر ذلك بشكل مباشر على كيفية معالجة نظم المعلومات المحاسبية للبيانات وتقديمها للمحللين</w:t>
      </w:r>
      <w:r w:rsidRPr="00E62D71">
        <w:rPr>
          <w:rFonts w:asciiTheme="majorBidi" w:hAnsiTheme="majorBidi" w:cstheme="majorBidi"/>
        </w:rPr>
        <w:t xml:space="preserve"> (Chen et al., 2021).</w:t>
      </w:r>
    </w:p>
    <w:p w14:paraId="0B278B53" w14:textId="4390F5E3" w:rsidR="00326DB9" w:rsidRDefault="00326DB9" w:rsidP="00D132F3">
      <w:pPr>
        <w:pStyle w:val="NormalWeb"/>
        <w:numPr>
          <w:ilvl w:val="0"/>
          <w:numId w:val="15"/>
        </w:numPr>
        <w:bidi/>
        <w:spacing w:before="0" w:beforeAutospacing="0" w:after="0" w:afterAutospacing="0"/>
        <w:jc w:val="lowKashida"/>
        <w:rPr>
          <w:rFonts w:ascii="Traditional Arabic" w:hAnsi="Traditional Arabic" w:cs="Traditional Arabic"/>
          <w:sz w:val="32"/>
          <w:szCs w:val="32"/>
        </w:rPr>
      </w:pPr>
      <w:r w:rsidRPr="007E0060">
        <w:rPr>
          <w:rFonts w:ascii="Traditional Arabic" w:hAnsi="Traditional Arabic" w:cs="Traditional Arabic"/>
          <w:b/>
          <w:bCs/>
          <w:sz w:val="32"/>
          <w:szCs w:val="32"/>
          <w:rtl/>
        </w:rPr>
        <w:t xml:space="preserve">البيانات الضخمة والتحليلات </w:t>
      </w:r>
      <w:r w:rsidRPr="007E0060">
        <w:rPr>
          <w:rFonts w:ascii="Traditional Arabic" w:hAnsi="Traditional Arabic" w:cs="Traditional Arabic" w:hint="cs"/>
          <w:b/>
          <w:bCs/>
          <w:sz w:val="32"/>
          <w:szCs w:val="32"/>
          <w:rtl/>
        </w:rPr>
        <w:t>المتقدمة</w:t>
      </w:r>
      <w:r w:rsidRPr="008771D3">
        <w:rPr>
          <w:rFonts w:ascii="Traditional Arabic" w:hAnsi="Traditional Arabic" w:cs="Traditional Arabic"/>
          <w:sz w:val="32"/>
          <w:szCs w:val="32"/>
        </w:rPr>
        <w:t xml:space="preserve">: </w:t>
      </w:r>
      <w:r>
        <w:rPr>
          <w:rFonts w:ascii="Traditional Arabic" w:hAnsi="Traditional Arabic" w:cs="Traditional Arabic" w:hint="cs"/>
          <w:sz w:val="32"/>
          <w:szCs w:val="32"/>
          <w:rtl/>
        </w:rPr>
        <w:t>تستفيد</w:t>
      </w:r>
      <w:r w:rsidRPr="008771D3">
        <w:rPr>
          <w:rFonts w:ascii="Traditional Arabic" w:hAnsi="Traditional Arabic" w:cs="Traditional Arabic"/>
          <w:sz w:val="32"/>
          <w:szCs w:val="32"/>
          <w:rtl/>
        </w:rPr>
        <w:t xml:space="preserve"> البنوك من كميات هائلة من البيانات الداخلية والخارجية لتحليل سلوك العملاء، تقييم المخاطر، وتطوير منتجات مالية جديدة. تُعد نظم المعلومات المحاسبية المصدر الرئيسي للبيانات المالية الخام التي تُغذّي هذه التحليلات</w:t>
      </w:r>
      <w:r w:rsidRPr="008771D3">
        <w:rPr>
          <w:rFonts w:ascii="Traditional Arabic" w:hAnsi="Traditional Arabic" w:cs="Traditional Arabic"/>
          <w:sz w:val="32"/>
          <w:szCs w:val="32"/>
        </w:rPr>
        <w:t xml:space="preserve"> (</w:t>
      </w:r>
      <w:r w:rsidRPr="00374726">
        <w:rPr>
          <w:rFonts w:ascii="Garamond" w:hAnsi="Garamond" w:cstheme="majorBidi"/>
        </w:rPr>
        <w:t>Garcia &amp; Lopez, 2021</w:t>
      </w:r>
      <w:r w:rsidRPr="008771D3">
        <w:rPr>
          <w:rFonts w:ascii="Traditional Arabic" w:hAnsi="Traditional Arabic" w:cs="Traditional Arabic"/>
          <w:sz w:val="32"/>
          <w:szCs w:val="32"/>
        </w:rPr>
        <w:t>).</w:t>
      </w:r>
    </w:p>
    <w:p w14:paraId="2B35D377" w14:textId="77777777" w:rsidR="00E64BC2" w:rsidRPr="008771D3" w:rsidRDefault="00E64BC2" w:rsidP="00E64BC2">
      <w:pPr>
        <w:pStyle w:val="NormalWeb"/>
        <w:bidi/>
        <w:spacing w:before="0" w:beforeAutospacing="0" w:after="0" w:afterAutospacing="0"/>
        <w:ind w:left="360"/>
        <w:jc w:val="lowKashida"/>
        <w:rPr>
          <w:rFonts w:ascii="Traditional Arabic" w:hAnsi="Traditional Arabic" w:cs="Traditional Arabic"/>
          <w:sz w:val="32"/>
          <w:szCs w:val="32"/>
        </w:rPr>
      </w:pPr>
    </w:p>
    <w:p w14:paraId="0718B703" w14:textId="77777777" w:rsidR="00326DB9" w:rsidRPr="0048758C" w:rsidRDefault="00326DB9" w:rsidP="00D132F3">
      <w:pPr>
        <w:pStyle w:val="NormalWeb"/>
        <w:numPr>
          <w:ilvl w:val="0"/>
          <w:numId w:val="15"/>
        </w:numPr>
        <w:bidi/>
        <w:spacing w:before="0" w:beforeAutospacing="0" w:after="0" w:afterAutospacing="0"/>
        <w:jc w:val="lowKashida"/>
        <w:rPr>
          <w:rFonts w:ascii="Traditional Arabic" w:hAnsi="Traditional Arabic" w:cs="Traditional Arabic"/>
          <w:sz w:val="32"/>
          <w:szCs w:val="32"/>
        </w:rPr>
      </w:pPr>
      <w:r w:rsidRPr="007E0060">
        <w:rPr>
          <w:rFonts w:ascii="Traditional Arabic" w:hAnsi="Traditional Arabic" w:cs="Traditional Arabic"/>
          <w:b/>
          <w:bCs/>
          <w:sz w:val="32"/>
          <w:szCs w:val="32"/>
          <w:rtl/>
        </w:rPr>
        <w:t xml:space="preserve">البلوك </w:t>
      </w:r>
      <w:r w:rsidRPr="007E0060">
        <w:rPr>
          <w:rFonts w:ascii="Traditional Arabic" w:hAnsi="Traditional Arabic" w:cs="Traditional Arabic" w:hint="cs"/>
          <w:b/>
          <w:bCs/>
          <w:sz w:val="32"/>
          <w:szCs w:val="32"/>
          <w:rtl/>
        </w:rPr>
        <w:t>تشين</w:t>
      </w:r>
      <w:r>
        <w:rPr>
          <w:rFonts w:ascii="Traditional Arabic" w:hAnsi="Traditional Arabic" w:cs="Traditional Arabic" w:hint="cs"/>
          <w:sz w:val="32"/>
          <w:szCs w:val="32"/>
          <w:rtl/>
        </w:rPr>
        <w:t xml:space="preserve">: </w:t>
      </w:r>
      <w:r w:rsidRPr="008771D3">
        <w:rPr>
          <w:rFonts w:ascii="Traditional Arabic" w:hAnsi="Traditional Arabic" w:cs="Traditional Arabic"/>
          <w:sz w:val="32"/>
          <w:szCs w:val="32"/>
          <w:rtl/>
        </w:rPr>
        <w:t xml:space="preserve">لا يزال تبني هذه التقنية في نظم المعلومات المحاسبية في مراحله المبكرة، لكنها تُعد بتقليل التكاليف </w:t>
      </w:r>
      <w:r w:rsidRPr="0048758C">
        <w:rPr>
          <w:rFonts w:ascii="Traditional Arabic" w:hAnsi="Traditional Arabic" w:cs="Traditional Arabic"/>
          <w:sz w:val="32"/>
          <w:szCs w:val="32"/>
          <w:rtl/>
        </w:rPr>
        <w:t>وزيادة الشفافية والأمن في تسجيل المعاملات، خصوصًا في التسويات والمراجعة</w:t>
      </w:r>
      <w:r w:rsidRPr="0048758C">
        <w:rPr>
          <w:rFonts w:ascii="Traditional Arabic" w:hAnsi="Traditional Arabic" w:cs="Traditional Arabic"/>
          <w:sz w:val="32"/>
          <w:szCs w:val="32"/>
        </w:rPr>
        <w:t xml:space="preserve"> (</w:t>
      </w:r>
      <w:r w:rsidRPr="00374726">
        <w:rPr>
          <w:rFonts w:ascii="Garamond" w:hAnsi="Garamond" w:cs="Traditional Arabic"/>
        </w:rPr>
        <w:t>Ahmed &amp; Khan</w:t>
      </w:r>
      <w:r w:rsidRPr="0048758C">
        <w:rPr>
          <w:rFonts w:ascii="Traditional Arabic" w:hAnsi="Traditional Arabic" w:cs="Traditional Arabic"/>
          <w:sz w:val="32"/>
          <w:szCs w:val="32"/>
        </w:rPr>
        <w:t xml:space="preserve">, </w:t>
      </w:r>
      <w:r w:rsidRPr="00017B15">
        <w:rPr>
          <w:rFonts w:ascii="Traditional Arabic" w:hAnsi="Traditional Arabic" w:cs="Traditional Arabic"/>
        </w:rPr>
        <w:t>2018</w:t>
      </w:r>
      <w:r w:rsidRPr="0048758C">
        <w:rPr>
          <w:rFonts w:ascii="Traditional Arabic" w:hAnsi="Traditional Arabic" w:cs="Traditional Arabic"/>
          <w:sz w:val="32"/>
          <w:szCs w:val="32"/>
        </w:rPr>
        <w:t>).</w:t>
      </w:r>
    </w:p>
    <w:p w14:paraId="5A31A8FB" w14:textId="6516E2A6" w:rsidR="00932913" w:rsidRPr="0048758C" w:rsidRDefault="00932913" w:rsidP="00F37118">
      <w:pPr>
        <w:pStyle w:val="NormalWeb"/>
        <w:bidi/>
        <w:spacing w:before="0" w:beforeAutospacing="0" w:after="0" w:afterAutospacing="0"/>
        <w:ind w:left="261"/>
        <w:jc w:val="lowKashida"/>
        <w:rPr>
          <w:rFonts w:ascii="Traditional Arabic" w:hAnsi="Traditional Arabic" w:cs="Traditional Arabic"/>
          <w:b/>
          <w:bCs/>
          <w:sz w:val="32"/>
          <w:szCs w:val="32"/>
          <w:rtl/>
        </w:rPr>
      </w:pPr>
      <w:r w:rsidRPr="0048758C">
        <w:rPr>
          <w:rFonts w:ascii="Traditional Arabic" w:hAnsi="Traditional Arabic" w:cs="Traditional Arabic"/>
          <w:sz w:val="32"/>
          <w:szCs w:val="32"/>
        </w:rPr>
        <w:t>ومع</w:t>
      </w:r>
      <w:r w:rsidRPr="0048758C">
        <w:rPr>
          <w:rFonts w:ascii="Traditional Arabic" w:hAnsi="Traditional Arabic" w:cs="Traditional Arabic"/>
          <w:b/>
          <w:bCs/>
          <w:sz w:val="32"/>
          <w:szCs w:val="32"/>
        </w:rPr>
        <w:t xml:space="preserve"> </w:t>
      </w:r>
      <w:r w:rsidRPr="0048758C">
        <w:rPr>
          <w:rFonts w:ascii="Traditional Arabic" w:hAnsi="Traditional Arabic" w:cs="Traditional Arabic"/>
          <w:sz w:val="32"/>
          <w:szCs w:val="32"/>
        </w:rPr>
        <w:t>ذلك، ورغم مزاياها المحتملة، لا تزال تقنية البلوك تشين تنطوي على مستوى مرتفع من المخاطر عند استخدامها</w:t>
      </w:r>
      <w:r w:rsidR="00F37118">
        <w:rPr>
          <w:rFonts w:ascii="Traditional Arabic" w:hAnsi="Traditional Arabic" w:cs="Traditional Arabic" w:hint="cs"/>
          <w:sz w:val="32"/>
          <w:szCs w:val="32"/>
          <w:rtl/>
        </w:rPr>
        <w:t xml:space="preserve"> </w:t>
      </w:r>
      <w:r w:rsidRPr="0048758C">
        <w:rPr>
          <w:rFonts w:ascii="Traditional Arabic" w:hAnsi="Traditional Arabic" w:cs="Traditional Arabic"/>
          <w:sz w:val="32"/>
          <w:szCs w:val="32"/>
        </w:rPr>
        <w:t xml:space="preserve"> </w:t>
      </w:r>
      <w:r w:rsidR="00F37118">
        <w:rPr>
          <w:rFonts w:ascii="Traditional Arabic" w:hAnsi="Traditional Arabic" w:cs="Traditional Arabic" w:hint="cs"/>
          <w:sz w:val="32"/>
          <w:szCs w:val="32"/>
          <w:rtl/>
        </w:rPr>
        <w:t xml:space="preserve">   </w:t>
      </w:r>
      <w:r w:rsidRPr="0048758C">
        <w:rPr>
          <w:rFonts w:ascii="Traditional Arabic" w:hAnsi="Traditional Arabic" w:cs="Traditional Arabic"/>
          <w:sz w:val="32"/>
          <w:szCs w:val="32"/>
        </w:rPr>
        <w:t xml:space="preserve">في المعاملات المالية الإلكترونية؛ لذلك لا ينبغي التعامل معها بوصفها حلاً آمناً بذاته، بل يجب أن يسبق تبنيها تقييمٌ </w:t>
      </w:r>
      <w:r w:rsidR="00F37118">
        <w:rPr>
          <w:rFonts w:ascii="Traditional Arabic" w:hAnsi="Traditional Arabic" w:cs="Traditional Arabic" w:hint="cs"/>
          <w:sz w:val="32"/>
          <w:szCs w:val="32"/>
          <w:rtl/>
        </w:rPr>
        <w:t xml:space="preserve"> </w:t>
      </w:r>
      <w:r w:rsidRPr="0048758C">
        <w:rPr>
          <w:rFonts w:ascii="Traditional Arabic" w:hAnsi="Traditional Arabic" w:cs="Traditional Arabic"/>
          <w:sz w:val="32"/>
          <w:szCs w:val="32"/>
        </w:rPr>
        <w:t>شامل للمخاطر وضوابط أمنية وتنظيمية واضحة وتطبيق مرحلي خاضع للرقابة</w:t>
      </w:r>
      <w:r w:rsidR="0048758C">
        <w:rPr>
          <w:rFonts w:ascii="Traditional Arabic" w:hAnsi="Traditional Arabic" w:cs="Traditional Arabic" w:hint="cs"/>
          <w:sz w:val="32"/>
          <w:szCs w:val="32"/>
          <w:rtl/>
        </w:rPr>
        <w:t xml:space="preserve"> .</w:t>
      </w:r>
    </w:p>
    <w:p w14:paraId="3E2C9C8B" w14:textId="4AFE5971" w:rsidR="00326DB9" w:rsidRDefault="00326DB9" w:rsidP="00D132F3">
      <w:pPr>
        <w:pStyle w:val="NormalWeb"/>
        <w:bidi/>
        <w:spacing w:before="0" w:beforeAutospacing="0" w:after="0" w:afterAutospacing="0"/>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w:t>
      </w:r>
      <w:r w:rsidRPr="0032691D">
        <w:rPr>
          <w:rFonts w:ascii="Traditional Arabic" w:hAnsi="Traditional Arabic" w:cs="Traditional Arabic"/>
          <w:b/>
          <w:bCs/>
          <w:sz w:val="32"/>
          <w:szCs w:val="32"/>
        </w:rPr>
        <w:t xml:space="preserve"> </w:t>
      </w:r>
      <w:r w:rsidRPr="0032691D">
        <w:rPr>
          <w:rFonts w:ascii="Traditional Arabic" w:hAnsi="Traditional Arabic" w:cs="Traditional Arabic"/>
          <w:b/>
          <w:bCs/>
          <w:sz w:val="32"/>
          <w:szCs w:val="32"/>
          <w:rtl/>
        </w:rPr>
        <w:t xml:space="preserve">الإطار الاستراتيجي والتشغيلي للتحول </w:t>
      </w:r>
      <w:r w:rsidRPr="0032691D">
        <w:rPr>
          <w:rFonts w:ascii="Traditional Arabic" w:hAnsi="Traditional Arabic" w:cs="Traditional Arabic" w:hint="cs"/>
          <w:b/>
          <w:bCs/>
          <w:sz w:val="32"/>
          <w:szCs w:val="32"/>
          <w:rtl/>
        </w:rPr>
        <w:t>الرقمي:</w:t>
      </w:r>
    </w:p>
    <w:p w14:paraId="1ABA1C65" w14:textId="77777777" w:rsidR="00E64BC2" w:rsidRPr="0032691D" w:rsidRDefault="00E64BC2" w:rsidP="00E64BC2">
      <w:pPr>
        <w:pStyle w:val="NormalWeb"/>
        <w:bidi/>
        <w:spacing w:before="0" w:beforeAutospacing="0" w:after="0" w:afterAutospacing="0"/>
        <w:jc w:val="lowKashida"/>
        <w:rPr>
          <w:rFonts w:ascii="Traditional Arabic" w:hAnsi="Traditional Arabic" w:cs="Traditional Arabic"/>
          <w:sz w:val="32"/>
          <w:szCs w:val="32"/>
        </w:rPr>
      </w:pPr>
    </w:p>
    <w:p w14:paraId="507E67E5" w14:textId="77777777" w:rsidR="00326DB9" w:rsidRPr="0032691D" w:rsidRDefault="00326DB9" w:rsidP="00D132F3">
      <w:pPr>
        <w:pStyle w:val="NormalWeb"/>
        <w:numPr>
          <w:ilvl w:val="0"/>
          <w:numId w:val="16"/>
        </w:numPr>
        <w:bidi/>
        <w:spacing w:before="0" w:beforeAutospacing="0" w:after="0" w:afterAutospacing="0"/>
        <w:jc w:val="lowKashida"/>
        <w:rPr>
          <w:rFonts w:ascii="Traditional Arabic" w:hAnsi="Traditional Arabic" w:cs="Traditional Arabic"/>
          <w:sz w:val="32"/>
          <w:szCs w:val="32"/>
        </w:rPr>
      </w:pPr>
      <w:r w:rsidRPr="0032691D">
        <w:rPr>
          <w:rFonts w:ascii="Traditional Arabic" w:hAnsi="Traditional Arabic" w:cs="Traditional Arabic"/>
          <w:b/>
          <w:bCs/>
          <w:sz w:val="32"/>
          <w:szCs w:val="32"/>
          <w:rtl/>
        </w:rPr>
        <w:t>الاستراتيجية الشاملة</w:t>
      </w:r>
      <w:r w:rsidRPr="0032691D">
        <w:rPr>
          <w:rFonts w:ascii="Traditional Arabic" w:hAnsi="Traditional Arabic" w:cs="Traditional Arabic"/>
          <w:b/>
          <w:bCs/>
          <w:sz w:val="32"/>
          <w:szCs w:val="32"/>
        </w:rPr>
        <w:t>:</w:t>
      </w:r>
      <w:r w:rsidRPr="0032691D">
        <w:rPr>
          <w:rFonts w:ascii="Traditional Arabic" w:hAnsi="Traditional Arabic" w:cs="Traditional Arabic"/>
          <w:sz w:val="32"/>
          <w:szCs w:val="32"/>
        </w:rPr>
        <w:t xml:space="preserve"> </w:t>
      </w:r>
      <w:r w:rsidRPr="0032691D">
        <w:rPr>
          <w:rFonts w:ascii="Traditional Arabic" w:hAnsi="Traditional Arabic" w:cs="Traditional Arabic"/>
          <w:sz w:val="32"/>
          <w:szCs w:val="32"/>
          <w:rtl/>
        </w:rPr>
        <w:t>لا يُنظر إلى رقمنة نظم المعلومات المحاسبية كهدف بحد ذاته، بل كجزء لا يتجزأ من استراتيجية تحول رقمي أوسع تهدف إلى تعزيز تجربة العميل، وتحسين الكفاءة التشغيلية، وتعزيز إدارة المخاطر</w:t>
      </w:r>
      <w:r w:rsidRPr="00374726">
        <w:rPr>
          <w:rFonts w:ascii="Garamond" w:hAnsi="Garamond" w:cs="Traditional Arabic"/>
          <w:sz w:val="32"/>
          <w:szCs w:val="32"/>
        </w:rPr>
        <w:t xml:space="preserve"> (</w:t>
      </w:r>
      <w:bookmarkStart w:id="7" w:name="_Hlk210078041"/>
      <w:r w:rsidRPr="00374726">
        <w:rPr>
          <w:rFonts w:ascii="Garamond" w:hAnsi="Garamond" w:cstheme="majorBidi"/>
        </w:rPr>
        <w:t>Al</w:t>
      </w:r>
      <w:r w:rsidRPr="009E49AC">
        <w:rPr>
          <w:rFonts w:asciiTheme="majorBidi" w:hAnsiTheme="majorBidi" w:cstheme="majorBidi"/>
        </w:rPr>
        <w:t>-</w:t>
      </w:r>
      <w:r w:rsidRPr="00374726">
        <w:rPr>
          <w:rFonts w:ascii="Garamond" w:hAnsi="Garamond" w:cstheme="majorBidi"/>
        </w:rPr>
        <w:t>Hussaini &amp; Al-Rashid, 2019</w:t>
      </w:r>
      <w:bookmarkEnd w:id="7"/>
      <w:r w:rsidRPr="00374726">
        <w:rPr>
          <w:rFonts w:ascii="Garamond" w:hAnsi="Garamond" w:cs="Traditional Arabic"/>
          <w:sz w:val="32"/>
          <w:szCs w:val="32"/>
        </w:rPr>
        <w:t>)</w:t>
      </w:r>
      <w:r w:rsidRPr="0032691D">
        <w:rPr>
          <w:rFonts w:ascii="Traditional Arabic" w:hAnsi="Traditional Arabic" w:cs="Traditional Arabic"/>
          <w:sz w:val="32"/>
          <w:szCs w:val="32"/>
        </w:rPr>
        <w:t xml:space="preserve"> </w:t>
      </w:r>
      <w:r w:rsidRPr="0032691D">
        <w:rPr>
          <w:rFonts w:ascii="Traditional Arabic" w:hAnsi="Traditional Arabic" w:cs="Traditional Arabic"/>
          <w:sz w:val="32"/>
          <w:szCs w:val="32"/>
          <w:rtl/>
        </w:rPr>
        <w:t xml:space="preserve">تتضمن هذه الاستراتيجيات غالبًا تحديث شامل للبنية التحتية لتكنولوجيا </w:t>
      </w:r>
      <w:r w:rsidRPr="0032691D">
        <w:rPr>
          <w:rFonts w:ascii="Traditional Arabic" w:hAnsi="Traditional Arabic" w:cs="Traditional Arabic" w:hint="cs"/>
          <w:sz w:val="32"/>
          <w:szCs w:val="32"/>
          <w:rtl/>
        </w:rPr>
        <w:t>المعلومات</w:t>
      </w:r>
      <w:r w:rsidRPr="0032691D">
        <w:rPr>
          <w:rFonts w:ascii="Traditional Arabic" w:hAnsi="Traditional Arabic" w:cs="Traditional Arabic"/>
          <w:sz w:val="32"/>
          <w:szCs w:val="32"/>
        </w:rPr>
        <w:t xml:space="preserve"> </w:t>
      </w:r>
      <w:r w:rsidRPr="0032691D">
        <w:rPr>
          <w:rFonts w:ascii="Traditional Arabic" w:hAnsi="Traditional Arabic" w:cs="Traditional Arabic"/>
          <w:sz w:val="32"/>
          <w:szCs w:val="32"/>
          <w:rtl/>
        </w:rPr>
        <w:t>واستثمارات في تطوير الكفاءات الداخلية</w:t>
      </w:r>
      <w:r w:rsidRPr="0032691D">
        <w:rPr>
          <w:rFonts w:ascii="Traditional Arabic" w:hAnsi="Traditional Arabic" w:cs="Traditional Arabic"/>
          <w:sz w:val="32"/>
          <w:szCs w:val="32"/>
        </w:rPr>
        <w:t xml:space="preserve"> </w:t>
      </w:r>
      <w:r w:rsidRPr="00374726">
        <w:rPr>
          <w:rFonts w:ascii="Garamond" w:hAnsi="Garamond" w:cs="Traditional Arabic"/>
          <w:sz w:val="32"/>
          <w:szCs w:val="32"/>
        </w:rPr>
        <w:t>(</w:t>
      </w:r>
      <w:r w:rsidRPr="00374726">
        <w:rPr>
          <w:rFonts w:ascii="Garamond" w:hAnsi="Garamond" w:cstheme="majorBidi"/>
        </w:rPr>
        <w:t>Al-Enezi, 2022</w:t>
      </w:r>
      <w:r w:rsidRPr="0032691D">
        <w:rPr>
          <w:rFonts w:ascii="Traditional Arabic" w:hAnsi="Traditional Arabic" w:cs="Traditional Arabic"/>
          <w:sz w:val="32"/>
          <w:szCs w:val="32"/>
        </w:rPr>
        <w:t>).</w:t>
      </w:r>
    </w:p>
    <w:p w14:paraId="1C64AF82" w14:textId="77777777" w:rsidR="00326DB9" w:rsidRPr="0032691D" w:rsidRDefault="00326DB9" w:rsidP="00D132F3">
      <w:pPr>
        <w:pStyle w:val="NormalWeb"/>
        <w:numPr>
          <w:ilvl w:val="0"/>
          <w:numId w:val="16"/>
        </w:numPr>
        <w:bidi/>
        <w:spacing w:before="0" w:beforeAutospacing="0" w:after="0" w:afterAutospacing="0"/>
        <w:jc w:val="lowKashida"/>
        <w:rPr>
          <w:rFonts w:ascii="Traditional Arabic" w:hAnsi="Traditional Arabic" w:cs="Traditional Arabic"/>
          <w:sz w:val="32"/>
          <w:szCs w:val="32"/>
        </w:rPr>
      </w:pPr>
      <w:r w:rsidRPr="0032691D">
        <w:rPr>
          <w:rFonts w:ascii="Traditional Arabic" w:hAnsi="Traditional Arabic" w:cs="Traditional Arabic"/>
          <w:b/>
          <w:bCs/>
          <w:sz w:val="32"/>
          <w:szCs w:val="32"/>
          <w:rtl/>
        </w:rPr>
        <w:t>التخصيص والامتثال الشرعي</w:t>
      </w:r>
      <w:r w:rsidRPr="0032691D">
        <w:rPr>
          <w:rFonts w:ascii="Traditional Arabic" w:hAnsi="Traditional Arabic" w:cs="Traditional Arabic"/>
          <w:b/>
          <w:bCs/>
          <w:sz w:val="32"/>
          <w:szCs w:val="32"/>
        </w:rPr>
        <w:t>:</w:t>
      </w:r>
      <w:r w:rsidRPr="0032691D">
        <w:rPr>
          <w:rFonts w:ascii="Traditional Arabic" w:hAnsi="Traditional Arabic" w:cs="Traditional Arabic"/>
          <w:sz w:val="32"/>
          <w:szCs w:val="32"/>
        </w:rPr>
        <w:t xml:space="preserve"> </w:t>
      </w:r>
      <w:r w:rsidRPr="0032691D">
        <w:rPr>
          <w:rFonts w:ascii="Traditional Arabic" w:hAnsi="Traditional Arabic" w:cs="Traditional Arabic"/>
          <w:sz w:val="32"/>
          <w:szCs w:val="32"/>
          <w:rtl/>
        </w:rPr>
        <w:t>على عكس البنوك التقليدية، تُواجه البنوك الإسلامية تحديًا إضافيًا يتمثل في ضرورة توافق نظم المعلومات المحاسبية الرقمية مع مبادئ الشريعة الإسلامية. هذا يتطلب غالبًا تخصيصًا لأنظمة البرمجيات الجاهزة</w:t>
      </w:r>
      <w:r w:rsidRPr="0032691D">
        <w:rPr>
          <w:rFonts w:ascii="Traditional Arabic" w:hAnsi="Traditional Arabic" w:cs="Traditional Arabic"/>
          <w:sz w:val="32"/>
          <w:szCs w:val="32"/>
        </w:rPr>
        <w:t xml:space="preserve"> </w:t>
      </w:r>
      <w:r w:rsidRPr="0032691D">
        <w:rPr>
          <w:rFonts w:ascii="Traditional Arabic" w:hAnsi="Traditional Arabic" w:cs="Traditional Arabic"/>
          <w:sz w:val="32"/>
          <w:szCs w:val="32"/>
          <w:rtl/>
        </w:rPr>
        <w:t>أو تطوير حلول داخلية</w:t>
      </w:r>
      <w:r w:rsidRPr="0032691D">
        <w:rPr>
          <w:rFonts w:ascii="Traditional Arabic" w:hAnsi="Traditional Arabic" w:cs="Traditional Arabic"/>
          <w:sz w:val="32"/>
          <w:szCs w:val="32"/>
        </w:rPr>
        <w:t xml:space="preserve"> </w:t>
      </w:r>
      <w:r w:rsidRPr="0032691D">
        <w:rPr>
          <w:rFonts w:ascii="Traditional Arabic" w:hAnsi="Traditional Arabic" w:cs="Traditional Arabic"/>
          <w:sz w:val="32"/>
          <w:szCs w:val="32"/>
          <w:rtl/>
        </w:rPr>
        <w:t>لضمان أن جميع المعاملات المحاسبية (مثل المرابحة، الإجارة، المضاربة) يتم تسجيلها ومعالجتها وتقديم تقارير عنها بطريقة تتوافق مع المعايير الشرعية</w:t>
      </w:r>
      <w:r w:rsidRPr="0032691D">
        <w:rPr>
          <w:rFonts w:ascii="Traditional Arabic" w:hAnsi="Traditional Arabic" w:cs="Traditional Arabic"/>
          <w:sz w:val="32"/>
          <w:szCs w:val="32"/>
        </w:rPr>
        <w:t xml:space="preserve"> </w:t>
      </w:r>
      <w:r w:rsidRPr="00374726">
        <w:rPr>
          <w:rFonts w:ascii="Garamond" w:hAnsi="Garamond" w:cs="Traditional Arabic"/>
          <w:sz w:val="32"/>
          <w:szCs w:val="32"/>
        </w:rPr>
        <w:t>(</w:t>
      </w:r>
      <w:r w:rsidRPr="00374726">
        <w:rPr>
          <w:rFonts w:ascii="Garamond" w:hAnsi="Garamond" w:cstheme="majorBidi"/>
        </w:rPr>
        <w:t>Usmani, 2002; IFSB Standards</w:t>
      </w:r>
      <w:r w:rsidRPr="00DE48CA">
        <w:rPr>
          <w:rFonts w:asciiTheme="majorBidi" w:hAnsiTheme="majorBidi" w:cstheme="majorBidi"/>
        </w:rPr>
        <w:t xml:space="preserve">, </w:t>
      </w:r>
      <w:r w:rsidRPr="00374726">
        <w:rPr>
          <w:rFonts w:ascii="Garamond" w:hAnsi="Garamond" w:cstheme="majorBidi"/>
        </w:rPr>
        <w:t>2018).</w:t>
      </w:r>
    </w:p>
    <w:p w14:paraId="5DADD69B" w14:textId="70E00815" w:rsidR="00326DB9" w:rsidRDefault="00326DB9" w:rsidP="00D132F3">
      <w:pPr>
        <w:pStyle w:val="NormalWeb"/>
        <w:bidi/>
        <w:spacing w:before="0" w:beforeAutospacing="0" w:after="0" w:afterAutospacing="0"/>
        <w:ind w:left="360"/>
        <w:jc w:val="lowKashida"/>
        <w:rPr>
          <w:rFonts w:asciiTheme="majorBidi" w:hAnsiTheme="majorBidi" w:cstheme="majorBidi"/>
        </w:rPr>
      </w:pPr>
      <w:r>
        <w:rPr>
          <w:rFonts w:ascii="Traditional Arabic" w:hAnsi="Traditional Arabic" w:cs="Traditional Arabic" w:hint="cs"/>
          <w:b/>
          <w:bCs/>
          <w:sz w:val="32"/>
          <w:szCs w:val="32"/>
          <w:rtl/>
        </w:rPr>
        <w:t>-</w:t>
      </w:r>
      <w:r w:rsidRPr="0032691D">
        <w:rPr>
          <w:rFonts w:ascii="Traditional Arabic" w:hAnsi="Traditional Arabic" w:cs="Traditional Arabic"/>
          <w:b/>
          <w:bCs/>
          <w:sz w:val="32"/>
          <w:szCs w:val="32"/>
          <w:rtl/>
        </w:rPr>
        <w:t>التحول من أنظمة</w:t>
      </w:r>
      <w:r w:rsidRPr="0032691D">
        <w:rPr>
          <w:rFonts w:ascii="Traditional Arabic" w:hAnsi="Traditional Arabic" w:cs="Traditional Arabic"/>
          <w:b/>
          <w:bCs/>
          <w:sz w:val="32"/>
          <w:szCs w:val="32"/>
        </w:rPr>
        <w:t xml:space="preserve"> </w:t>
      </w:r>
      <w:r w:rsidRPr="0032691D">
        <w:rPr>
          <w:rFonts w:ascii="Traditional Arabic" w:hAnsi="Traditional Arabic" w:cs="Traditional Arabic"/>
          <w:b/>
          <w:bCs/>
          <w:sz w:val="32"/>
          <w:szCs w:val="32"/>
          <w:rtl/>
        </w:rPr>
        <w:t>إلى الأنظمة الحديثة</w:t>
      </w:r>
      <w:r w:rsidRPr="0032691D">
        <w:rPr>
          <w:rFonts w:ascii="Traditional Arabic" w:hAnsi="Traditional Arabic" w:cs="Traditional Arabic"/>
          <w:b/>
          <w:bCs/>
          <w:sz w:val="32"/>
          <w:szCs w:val="32"/>
        </w:rPr>
        <w:t>:</w:t>
      </w:r>
      <w:r w:rsidRPr="0032691D">
        <w:rPr>
          <w:rFonts w:ascii="Traditional Arabic" w:hAnsi="Traditional Arabic" w:cs="Traditional Arabic"/>
          <w:sz w:val="32"/>
          <w:szCs w:val="32"/>
        </w:rPr>
        <w:t xml:space="preserve"> </w:t>
      </w:r>
      <w:r w:rsidRPr="0032691D">
        <w:rPr>
          <w:rFonts w:ascii="Traditional Arabic" w:hAnsi="Traditional Arabic" w:cs="Traditional Arabic"/>
          <w:sz w:val="32"/>
          <w:szCs w:val="32"/>
          <w:rtl/>
        </w:rPr>
        <w:t>العديد من البنوك لا تزال تعمل على أنظمة قديمة</w:t>
      </w:r>
      <w:r w:rsidRPr="0032691D">
        <w:rPr>
          <w:rFonts w:ascii="Traditional Arabic" w:hAnsi="Traditional Arabic" w:cs="Traditional Arabic"/>
          <w:sz w:val="32"/>
          <w:szCs w:val="32"/>
        </w:rPr>
        <w:t xml:space="preserve"> </w:t>
      </w:r>
      <w:r w:rsidRPr="00310945">
        <w:rPr>
          <w:rFonts w:ascii="Traditional Arabic" w:hAnsi="Traditional Arabic" w:cs="Traditional Arabic"/>
        </w:rPr>
        <w:t xml:space="preserve">(Legacy Systems) </w:t>
      </w:r>
      <w:r w:rsidRPr="0032691D">
        <w:rPr>
          <w:rFonts w:ascii="Traditional Arabic" w:hAnsi="Traditional Arabic" w:cs="Traditional Arabic"/>
          <w:sz w:val="32"/>
          <w:szCs w:val="32"/>
          <w:rtl/>
        </w:rPr>
        <w:t xml:space="preserve">يصعب تحديثها أو ربطها بالتقنيات الجديدة. يشمل التحول الرقمي لنظم المعلومات المحاسبية هنا عملية معقدة للانتقال التدريجي أو الكلي إلى أنظمة أكثر حداثة وقابلية للتوسع، مثل </w:t>
      </w:r>
      <w:r w:rsidRPr="0032691D">
        <w:rPr>
          <w:rFonts w:ascii="Traditional Arabic" w:hAnsi="Traditional Arabic" w:cs="Traditional Arabic" w:hint="cs"/>
          <w:sz w:val="32"/>
          <w:szCs w:val="32"/>
          <w:rtl/>
        </w:rPr>
        <w:t>أنظمة</w:t>
      </w:r>
      <w:r w:rsidRPr="0032691D">
        <w:rPr>
          <w:rFonts w:ascii="Traditional Arabic" w:hAnsi="Traditional Arabic" w:cs="Traditional Arabic"/>
          <w:sz w:val="32"/>
          <w:szCs w:val="32"/>
        </w:rPr>
        <w:t xml:space="preserve"> </w:t>
      </w:r>
      <w:r w:rsidRPr="0032691D">
        <w:rPr>
          <w:rFonts w:ascii="Traditional Arabic" w:hAnsi="Traditional Arabic" w:cs="Traditional Arabic"/>
          <w:sz w:val="32"/>
          <w:szCs w:val="32"/>
          <w:rtl/>
        </w:rPr>
        <w:t>المتكاملة التي تشمل وحدات محاسبية مالية وإدارية</w:t>
      </w:r>
      <w:r w:rsidRPr="0032691D">
        <w:rPr>
          <w:rFonts w:ascii="Traditional Arabic" w:hAnsi="Traditional Arabic" w:cs="Traditional Arabic"/>
          <w:sz w:val="32"/>
          <w:szCs w:val="32"/>
        </w:rPr>
        <w:t xml:space="preserve"> </w:t>
      </w:r>
      <w:r w:rsidRPr="00374726">
        <w:rPr>
          <w:rFonts w:ascii="Garamond" w:hAnsi="Garamond" w:cstheme="majorBidi"/>
        </w:rPr>
        <w:t>(Wilkinson et al., 2018).</w:t>
      </w:r>
    </w:p>
    <w:p w14:paraId="5DA31313" w14:textId="77777777" w:rsidR="00E64BC2" w:rsidRPr="009F0974" w:rsidRDefault="00E64BC2" w:rsidP="00E64BC2">
      <w:pPr>
        <w:pStyle w:val="NormalWeb"/>
        <w:bidi/>
        <w:spacing w:before="0" w:beforeAutospacing="0" w:after="0" w:afterAutospacing="0"/>
        <w:ind w:left="360"/>
        <w:jc w:val="lowKashida"/>
        <w:rPr>
          <w:rFonts w:ascii="Traditional Arabic" w:hAnsi="Traditional Arabic" w:cs="Traditional Arabic"/>
          <w:sz w:val="32"/>
          <w:szCs w:val="32"/>
        </w:rPr>
      </w:pPr>
    </w:p>
    <w:p w14:paraId="710EE3FA" w14:textId="77777777" w:rsidR="00326DB9" w:rsidRPr="009F0974" w:rsidRDefault="00326DB9" w:rsidP="00D132F3">
      <w:pPr>
        <w:pStyle w:val="NormalWeb"/>
        <w:bidi/>
        <w:spacing w:before="0" w:beforeAutospacing="0" w:after="0" w:afterAutospacing="0"/>
        <w:jc w:val="lowKashida"/>
        <w:rPr>
          <w:rFonts w:ascii="Traditional Arabic" w:hAnsi="Traditional Arabic" w:cs="Traditional Arabic"/>
          <w:sz w:val="32"/>
          <w:szCs w:val="32"/>
        </w:rPr>
      </w:pPr>
      <w:r>
        <w:rPr>
          <w:rFonts w:ascii="Traditional Arabic" w:hAnsi="Traditional Arabic" w:cs="Traditional Arabic" w:hint="cs"/>
          <w:b/>
          <w:bCs/>
          <w:sz w:val="32"/>
          <w:szCs w:val="32"/>
          <w:rtl/>
        </w:rPr>
        <w:t>-</w:t>
      </w:r>
      <w:r w:rsidRPr="009F0974">
        <w:rPr>
          <w:rFonts w:ascii="Traditional Arabic" w:hAnsi="Traditional Arabic" w:cs="Traditional Arabic"/>
          <w:b/>
          <w:bCs/>
          <w:sz w:val="32"/>
          <w:szCs w:val="32"/>
        </w:rPr>
        <w:t xml:space="preserve"> </w:t>
      </w:r>
      <w:r w:rsidRPr="009F0974">
        <w:rPr>
          <w:rFonts w:ascii="Traditional Arabic" w:hAnsi="Traditional Arabic" w:cs="Traditional Arabic"/>
          <w:b/>
          <w:bCs/>
          <w:sz w:val="32"/>
          <w:szCs w:val="32"/>
          <w:rtl/>
        </w:rPr>
        <w:t>التكامل الخارجي والتفاعل ضمن النظام البيئي الرقمي</w:t>
      </w:r>
      <w:r w:rsidRPr="009F0974">
        <w:rPr>
          <w:rFonts w:ascii="Traditional Arabic" w:hAnsi="Traditional Arabic" w:cs="Traditional Arabic"/>
          <w:b/>
          <w:bCs/>
          <w:sz w:val="32"/>
          <w:szCs w:val="32"/>
        </w:rPr>
        <w:t>:</w:t>
      </w:r>
    </w:p>
    <w:p w14:paraId="634CEEB2" w14:textId="77777777" w:rsidR="00326DB9" w:rsidRPr="009F0974" w:rsidRDefault="00326DB9" w:rsidP="00D132F3">
      <w:pPr>
        <w:pStyle w:val="NormalWeb"/>
        <w:numPr>
          <w:ilvl w:val="0"/>
          <w:numId w:val="17"/>
        </w:numPr>
        <w:bidi/>
        <w:spacing w:before="0" w:beforeAutospacing="0" w:after="0" w:afterAutospacing="0"/>
        <w:jc w:val="lowKashida"/>
        <w:rPr>
          <w:rFonts w:ascii="Traditional Arabic" w:hAnsi="Traditional Arabic" w:cs="Traditional Arabic"/>
          <w:sz w:val="32"/>
          <w:szCs w:val="32"/>
        </w:rPr>
      </w:pPr>
      <w:r w:rsidRPr="009F0974">
        <w:rPr>
          <w:rFonts w:ascii="Traditional Arabic" w:hAnsi="Traditional Arabic" w:cs="Traditional Arabic"/>
          <w:b/>
          <w:bCs/>
          <w:sz w:val="32"/>
          <w:szCs w:val="32"/>
          <w:rtl/>
        </w:rPr>
        <w:t>الربط مع</w:t>
      </w:r>
      <w:r w:rsidRPr="009F0974">
        <w:rPr>
          <w:rFonts w:ascii="Traditional Arabic" w:hAnsi="Traditional Arabic" w:cs="Traditional Arabic"/>
          <w:b/>
          <w:bCs/>
          <w:sz w:val="32"/>
          <w:szCs w:val="32"/>
        </w:rPr>
        <w:t xml:space="preserve"> </w:t>
      </w:r>
      <w:r w:rsidRPr="00374726">
        <w:rPr>
          <w:rFonts w:ascii="Garamond" w:hAnsi="Garamond" w:cs="Traditional Arabic"/>
          <w:b/>
          <w:bCs/>
        </w:rPr>
        <w:t>FinTechs</w:t>
      </w:r>
      <w:r w:rsidRPr="009F0974">
        <w:rPr>
          <w:rFonts w:ascii="Traditional Arabic" w:hAnsi="Traditional Arabic" w:cs="Traditional Arabic"/>
          <w:b/>
          <w:bCs/>
          <w:sz w:val="32"/>
          <w:szCs w:val="32"/>
        </w:rPr>
        <w:t xml:space="preserve"> </w:t>
      </w:r>
      <w:r w:rsidRPr="009F0974">
        <w:rPr>
          <w:rFonts w:ascii="Traditional Arabic" w:hAnsi="Traditional Arabic" w:cs="Traditional Arabic" w:hint="cs"/>
          <w:b/>
          <w:bCs/>
          <w:sz w:val="32"/>
          <w:szCs w:val="32"/>
          <w:rtl/>
        </w:rPr>
        <w:t>و</w:t>
      </w:r>
      <w:r w:rsidRPr="00374726">
        <w:rPr>
          <w:rFonts w:ascii="Garamond" w:hAnsi="Garamond" w:cs="Traditional Arabic"/>
          <w:b/>
          <w:bCs/>
        </w:rPr>
        <w:t>RegTechs</w:t>
      </w:r>
      <w:r w:rsidRPr="009F0974">
        <w:rPr>
          <w:rFonts w:ascii="Traditional Arabic" w:hAnsi="Traditional Arabic" w:cs="Traditional Arabic"/>
          <w:b/>
          <w:bCs/>
          <w:sz w:val="32"/>
          <w:szCs w:val="32"/>
        </w:rPr>
        <w:t>:</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تستكشف البنوك الإسلامية الكويتية فرص التكامل بين نظم معلوماتها المحاسبية وشركات التكنولوجيا المالية</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لتقديم خدمات مبتكرة مثل التمويل الرقمي، أو شركات التكنولوجيا التنظيمية</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لأتمتة عمليات الامتثال والتقارير التنظيمية</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هذا التكامل يتطلب نظم معلومات محاسبية مرنة وقابلة للتوافق مع واجهات برمجة التطبيقات</w:t>
      </w:r>
      <w:r w:rsidRPr="009F0974">
        <w:rPr>
          <w:rFonts w:ascii="Traditional Arabic" w:hAnsi="Traditional Arabic" w:cs="Traditional Arabic"/>
          <w:sz w:val="32"/>
          <w:szCs w:val="32"/>
        </w:rPr>
        <w:t xml:space="preserve"> (</w:t>
      </w:r>
      <w:r w:rsidRPr="00374726">
        <w:rPr>
          <w:rFonts w:ascii="Garamond" w:hAnsi="Garamond" w:cstheme="majorBidi"/>
        </w:rPr>
        <w:t>Rashid, 2019</w:t>
      </w:r>
      <w:r w:rsidRPr="009F0974">
        <w:rPr>
          <w:rFonts w:ascii="Traditional Arabic" w:hAnsi="Traditional Arabic" w:cs="Traditional Arabic"/>
          <w:sz w:val="32"/>
          <w:szCs w:val="32"/>
        </w:rPr>
        <w:t xml:space="preserve">). </w:t>
      </w:r>
      <w:r>
        <w:rPr>
          <w:rFonts w:ascii="Traditional Arabic" w:hAnsi="Traditional Arabic" w:cs="Traditional Arabic" w:hint="cs"/>
          <w:sz w:val="32"/>
          <w:szCs w:val="32"/>
          <w:rtl/>
        </w:rPr>
        <w:t xml:space="preserve"> </w:t>
      </w:r>
      <w:r w:rsidRPr="009F0974">
        <w:rPr>
          <w:rFonts w:ascii="Traditional Arabic" w:hAnsi="Traditional Arabic" w:cs="Traditional Arabic"/>
          <w:sz w:val="32"/>
          <w:szCs w:val="32"/>
          <w:rtl/>
        </w:rPr>
        <w:t>هذا يسمح بتبادل البيانات المحاسبية الآمن والفعال مع الأطراف الخارجية، مما يقلل من الجهد اليدوي ويسرع العمليات</w:t>
      </w:r>
      <w:r w:rsidRPr="008D43E6">
        <w:rPr>
          <w:rFonts w:asciiTheme="majorBidi" w:hAnsiTheme="majorBidi" w:cstheme="majorBidi"/>
        </w:rPr>
        <w:t xml:space="preserve"> (</w:t>
      </w:r>
      <w:r w:rsidRPr="00374726">
        <w:rPr>
          <w:rFonts w:ascii="Garamond" w:hAnsi="Garamond" w:cstheme="majorBidi"/>
        </w:rPr>
        <w:t>Accenture, 2021</w:t>
      </w:r>
      <w:r w:rsidRPr="008D43E6">
        <w:rPr>
          <w:rFonts w:asciiTheme="majorBidi" w:hAnsiTheme="majorBidi" w:cstheme="majorBidi"/>
        </w:rPr>
        <w:t>).</w:t>
      </w:r>
    </w:p>
    <w:p w14:paraId="196E0CB1" w14:textId="77777777" w:rsidR="00326DB9" w:rsidRPr="009F0974" w:rsidRDefault="00326DB9" w:rsidP="00D132F3">
      <w:pPr>
        <w:pStyle w:val="NormalWeb"/>
        <w:numPr>
          <w:ilvl w:val="0"/>
          <w:numId w:val="17"/>
        </w:numPr>
        <w:bidi/>
        <w:spacing w:before="0" w:beforeAutospacing="0" w:after="0" w:afterAutospacing="0"/>
        <w:jc w:val="lowKashida"/>
        <w:rPr>
          <w:rFonts w:ascii="Traditional Arabic" w:hAnsi="Traditional Arabic" w:cs="Traditional Arabic"/>
          <w:sz w:val="32"/>
          <w:szCs w:val="32"/>
        </w:rPr>
      </w:pPr>
      <w:r w:rsidRPr="009F0974">
        <w:rPr>
          <w:rFonts w:ascii="Traditional Arabic" w:hAnsi="Traditional Arabic" w:cs="Traditional Arabic"/>
          <w:b/>
          <w:bCs/>
          <w:sz w:val="32"/>
          <w:szCs w:val="32"/>
          <w:rtl/>
        </w:rPr>
        <w:t>تحسين تجربة العميل</w:t>
      </w:r>
      <w:r>
        <w:rPr>
          <w:rFonts w:ascii="Traditional Arabic" w:hAnsi="Traditional Arabic" w:cs="Traditional Arabic" w:hint="cs"/>
          <w:b/>
          <w:bCs/>
          <w:sz w:val="32"/>
          <w:szCs w:val="32"/>
          <w:rtl/>
        </w:rPr>
        <w:t xml:space="preserve">: </w:t>
      </w:r>
      <w:r w:rsidRPr="009F0974">
        <w:rPr>
          <w:rFonts w:ascii="Traditional Arabic" w:hAnsi="Traditional Arabic" w:cs="Traditional Arabic"/>
          <w:sz w:val="32"/>
          <w:szCs w:val="32"/>
          <w:rtl/>
        </w:rPr>
        <w:t>يؤثر التحول الرقمي لنظم المعلومات المحاسبية بشكل غير مباشر على تجربة العميل من خلال تحسين سرعة وكفاءة العمليات الخلفية</w:t>
      </w:r>
      <w:r>
        <w:rPr>
          <w:rFonts w:ascii="Traditional Arabic" w:hAnsi="Traditional Arabic" w:cs="Traditional Arabic" w:hint="cs"/>
          <w:sz w:val="32"/>
          <w:szCs w:val="32"/>
          <w:rtl/>
        </w:rPr>
        <w:t>،</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فعلى سبيل المثال، سرعة معالجة طلبات التمويل، ودقة كشوف الحسابات، وتوفير معلومات مالية شفافة للعملاء، كلها أمور تعتمد على فعالية نظم المعلومات المحاسبية</w:t>
      </w:r>
      <w:r w:rsidRPr="009F0974">
        <w:rPr>
          <w:rFonts w:ascii="Traditional Arabic" w:hAnsi="Traditional Arabic" w:cs="Traditional Arabic"/>
          <w:sz w:val="32"/>
          <w:szCs w:val="32"/>
        </w:rPr>
        <w:t xml:space="preserve"> </w:t>
      </w:r>
      <w:r w:rsidRPr="008D43E6">
        <w:rPr>
          <w:rFonts w:ascii="Traditional Arabic" w:hAnsi="Traditional Arabic" w:cs="Traditional Arabic"/>
        </w:rPr>
        <w:t>(</w:t>
      </w:r>
      <w:r w:rsidRPr="00374726">
        <w:rPr>
          <w:rFonts w:ascii="Garamond" w:hAnsi="Garamond" w:cs="Traditional Arabic"/>
        </w:rPr>
        <w:t>Khalaf &amp; Al</w:t>
      </w:r>
      <w:r w:rsidRPr="008D43E6">
        <w:rPr>
          <w:rFonts w:ascii="Traditional Arabic" w:hAnsi="Traditional Arabic" w:cs="Traditional Arabic"/>
        </w:rPr>
        <w:t>-</w:t>
      </w:r>
      <w:r w:rsidRPr="00374726">
        <w:rPr>
          <w:rFonts w:ascii="Garamond" w:hAnsi="Garamond" w:cs="Traditional Arabic"/>
        </w:rPr>
        <w:t>Mulla, 2020</w:t>
      </w:r>
      <w:r w:rsidRPr="00374726">
        <w:rPr>
          <w:rFonts w:ascii="Garamond" w:hAnsi="Garamond" w:cs="Traditional Arabic"/>
          <w:sz w:val="32"/>
          <w:szCs w:val="32"/>
        </w:rPr>
        <w:t>)</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هذا الجانب يمثل ميزة تنافسية للبنوك التي تتبنى هذا التحول</w:t>
      </w:r>
      <w:r w:rsidRPr="009F0974">
        <w:rPr>
          <w:rFonts w:ascii="Traditional Arabic" w:hAnsi="Traditional Arabic" w:cs="Traditional Arabic"/>
          <w:sz w:val="32"/>
          <w:szCs w:val="32"/>
        </w:rPr>
        <w:t>.</w:t>
      </w:r>
    </w:p>
    <w:p w14:paraId="2DE9969A" w14:textId="541FAD12" w:rsidR="00326DB9" w:rsidRDefault="00326DB9" w:rsidP="00D132F3">
      <w:pPr>
        <w:pStyle w:val="NormalWeb"/>
        <w:numPr>
          <w:ilvl w:val="0"/>
          <w:numId w:val="17"/>
        </w:numPr>
        <w:bidi/>
        <w:spacing w:before="0" w:beforeAutospacing="0" w:after="0" w:afterAutospacing="0"/>
        <w:jc w:val="lowKashida"/>
        <w:rPr>
          <w:rFonts w:ascii="Traditional Arabic" w:hAnsi="Traditional Arabic" w:cs="Traditional Arabic"/>
          <w:sz w:val="32"/>
          <w:szCs w:val="32"/>
          <w:rtl/>
        </w:rPr>
      </w:pPr>
      <w:r w:rsidRPr="009F0974">
        <w:rPr>
          <w:rFonts w:ascii="Traditional Arabic" w:hAnsi="Traditional Arabic" w:cs="Traditional Arabic"/>
          <w:b/>
          <w:bCs/>
          <w:sz w:val="32"/>
          <w:szCs w:val="32"/>
          <w:rtl/>
        </w:rPr>
        <w:t xml:space="preserve">المحاسبة البيئية والاجتماعية </w:t>
      </w:r>
      <w:r w:rsidRPr="009F0974">
        <w:rPr>
          <w:rFonts w:ascii="Traditional Arabic" w:hAnsi="Traditional Arabic" w:cs="Traditional Arabic" w:hint="cs"/>
          <w:b/>
          <w:bCs/>
          <w:sz w:val="32"/>
          <w:szCs w:val="32"/>
          <w:rtl/>
        </w:rPr>
        <w:t>والحوكمة</w:t>
      </w:r>
      <w:r w:rsidRPr="009F0974">
        <w:rPr>
          <w:rFonts w:ascii="Traditional Arabic" w:hAnsi="Traditional Arabic" w:cs="Traditional Arabic"/>
          <w:b/>
          <w:bCs/>
          <w:sz w:val="32"/>
          <w:szCs w:val="32"/>
        </w:rPr>
        <w:t>:</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مع تزايد الاهتمام بالاستدامة، بدأت بعض البنوك في دمج متطلبات تقارير</w:t>
      </w:r>
      <w:r w:rsidRPr="009F0974">
        <w:rPr>
          <w:rFonts w:ascii="Traditional Arabic" w:hAnsi="Traditional Arabic" w:cs="Traditional Arabic"/>
          <w:sz w:val="32"/>
          <w:szCs w:val="32"/>
        </w:rPr>
        <w:t xml:space="preserve"> ESG </w:t>
      </w:r>
      <w:r w:rsidRPr="009F0974">
        <w:rPr>
          <w:rFonts w:ascii="Traditional Arabic" w:hAnsi="Traditional Arabic" w:cs="Traditional Arabic"/>
          <w:sz w:val="32"/>
          <w:szCs w:val="32"/>
          <w:rtl/>
        </w:rPr>
        <w:t>ضمن نظم معلوماتها المحاسبية</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هذا يتضمن جمع ومعالجة البيانات غير المالية المتعلقة بالأثر البيئي والاجتماعي والحوكمة، والتي تؤثر على قرارات الاستثمار والتقييم الائتماني</w:t>
      </w:r>
      <w:r w:rsidRPr="009F0974">
        <w:rPr>
          <w:rFonts w:ascii="Traditional Arabic" w:hAnsi="Traditional Arabic" w:cs="Traditional Arabic"/>
          <w:sz w:val="32"/>
          <w:szCs w:val="32"/>
        </w:rPr>
        <w:t xml:space="preserve"> </w:t>
      </w:r>
      <w:r w:rsidRPr="00374726">
        <w:rPr>
          <w:rFonts w:ascii="Garamond" w:hAnsi="Garamond" w:cstheme="majorBidi"/>
        </w:rPr>
        <w:t>(KPMG, 2022)</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هذا التوجه يفرض تحديات جديدة على تصميم وتكامل نظم المعلومات المحاسبية</w:t>
      </w:r>
    </w:p>
    <w:p w14:paraId="5E3F7E54" w14:textId="77777777" w:rsidR="00E64BC2" w:rsidRPr="000F5ABF" w:rsidRDefault="00E64BC2" w:rsidP="00E64BC2">
      <w:pPr>
        <w:pStyle w:val="NormalWeb"/>
        <w:bidi/>
        <w:spacing w:before="0" w:beforeAutospacing="0" w:after="0" w:afterAutospacing="0"/>
        <w:ind w:left="360"/>
        <w:jc w:val="lowKashida"/>
        <w:rPr>
          <w:rFonts w:ascii="Traditional Arabic" w:hAnsi="Traditional Arabic" w:cs="Traditional Arabic"/>
          <w:sz w:val="32"/>
          <w:szCs w:val="32"/>
        </w:rPr>
      </w:pPr>
    </w:p>
    <w:p w14:paraId="7543638A" w14:textId="77777777" w:rsidR="00326DB9" w:rsidRPr="00EF7D66" w:rsidRDefault="00326DB9" w:rsidP="00D132F3">
      <w:pPr>
        <w:pStyle w:val="NormalWeb"/>
        <w:bidi/>
        <w:spacing w:before="0" w:beforeAutospacing="0" w:after="0" w:afterAutospacing="0"/>
        <w:ind w:left="360"/>
        <w:jc w:val="lowKashida"/>
        <w:rPr>
          <w:rFonts w:ascii="Traditional Arabic" w:hAnsi="Traditional Arabic" w:cs="Traditional Arabic"/>
          <w:sz w:val="44"/>
          <w:szCs w:val="44"/>
        </w:rPr>
      </w:pPr>
      <w:r w:rsidRPr="00EF7D66">
        <w:rPr>
          <w:rFonts w:ascii="Traditional Arabic" w:hAnsi="Traditional Arabic" w:cs="Traditional Arabic" w:hint="cs"/>
          <w:b/>
          <w:bCs/>
          <w:sz w:val="44"/>
          <w:szCs w:val="44"/>
          <w:rtl/>
        </w:rPr>
        <w:t>ثانيا:</w:t>
      </w:r>
      <w:r w:rsidRPr="00EF7D66">
        <w:rPr>
          <w:rFonts w:ascii="Traditional Arabic" w:hAnsi="Traditional Arabic" w:cs="Traditional Arabic"/>
          <w:b/>
          <w:bCs/>
          <w:sz w:val="32"/>
          <w:szCs w:val="32"/>
        </w:rPr>
        <w:t xml:space="preserve"> </w:t>
      </w:r>
      <w:r w:rsidRPr="00EF7D66">
        <w:rPr>
          <w:rFonts w:ascii="Traditional Arabic" w:hAnsi="Traditional Arabic" w:cs="Traditional Arabic"/>
          <w:b/>
          <w:bCs/>
          <w:sz w:val="32"/>
          <w:szCs w:val="32"/>
          <w:rtl/>
        </w:rPr>
        <w:t>الأثر على جودة وكفاءة المعلومات المحاسبية</w:t>
      </w:r>
      <w:r w:rsidRPr="00EF7D66">
        <w:rPr>
          <w:rFonts w:ascii="Traditional Arabic" w:hAnsi="Traditional Arabic" w:cs="Traditional Arabic"/>
          <w:b/>
          <w:bCs/>
          <w:sz w:val="32"/>
          <w:szCs w:val="32"/>
        </w:rPr>
        <w:t>:</w:t>
      </w:r>
    </w:p>
    <w:p w14:paraId="354E9DEB" w14:textId="77777777" w:rsidR="00326DB9" w:rsidRPr="009F0974" w:rsidRDefault="00326DB9" w:rsidP="00D132F3">
      <w:pPr>
        <w:pStyle w:val="NormalWeb"/>
        <w:numPr>
          <w:ilvl w:val="0"/>
          <w:numId w:val="18"/>
        </w:numPr>
        <w:bidi/>
        <w:spacing w:before="0" w:beforeAutospacing="0" w:after="0" w:afterAutospacing="0"/>
        <w:jc w:val="lowKashida"/>
        <w:rPr>
          <w:rFonts w:ascii="Traditional Arabic" w:hAnsi="Traditional Arabic" w:cs="Traditional Arabic"/>
          <w:sz w:val="32"/>
          <w:szCs w:val="32"/>
        </w:rPr>
      </w:pPr>
      <w:r w:rsidRPr="009F0974">
        <w:rPr>
          <w:rFonts w:ascii="Traditional Arabic" w:hAnsi="Traditional Arabic" w:cs="Traditional Arabic"/>
          <w:b/>
          <w:bCs/>
          <w:sz w:val="32"/>
          <w:szCs w:val="32"/>
          <w:rtl/>
        </w:rPr>
        <w:t>تحسين دقة وموثوقية البيانات</w:t>
      </w:r>
      <w:r w:rsidRPr="009F0974">
        <w:rPr>
          <w:rFonts w:ascii="Traditional Arabic" w:hAnsi="Traditional Arabic" w:cs="Traditional Arabic"/>
          <w:b/>
          <w:bCs/>
          <w:sz w:val="32"/>
          <w:szCs w:val="32"/>
        </w:rPr>
        <w:t>:</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يساهم التحول الرقمي في تقليل الأخطاء البشرية وأتمتة إدخال ومعالجة البيانات، مما يعزز دقة وموثوقية المعلومات المحاسبية التي تُنتجها النظم</w:t>
      </w:r>
      <w:r w:rsidRPr="009F0974">
        <w:rPr>
          <w:rFonts w:ascii="Traditional Arabic" w:hAnsi="Traditional Arabic" w:cs="Traditional Arabic"/>
          <w:sz w:val="32"/>
          <w:szCs w:val="32"/>
        </w:rPr>
        <w:t xml:space="preserve"> </w:t>
      </w:r>
      <w:r w:rsidRPr="00374726">
        <w:rPr>
          <w:rFonts w:ascii="Garamond" w:hAnsi="Garamond" w:cs="Arial"/>
        </w:rPr>
        <w:t>(Wang &amp; Lee, 2019</w:t>
      </w:r>
      <w:r w:rsidRPr="009F0974">
        <w:rPr>
          <w:rFonts w:ascii="Traditional Arabic" w:hAnsi="Traditional Arabic" w:cs="Traditional Arabic"/>
          <w:sz w:val="32"/>
          <w:szCs w:val="32"/>
        </w:rPr>
        <w:t>).</w:t>
      </w:r>
    </w:p>
    <w:p w14:paraId="240D12B8" w14:textId="77777777" w:rsidR="00326DB9" w:rsidRPr="009F0974" w:rsidRDefault="00326DB9" w:rsidP="00D132F3">
      <w:pPr>
        <w:pStyle w:val="NormalWeb"/>
        <w:numPr>
          <w:ilvl w:val="0"/>
          <w:numId w:val="18"/>
        </w:numPr>
        <w:bidi/>
        <w:spacing w:before="0" w:beforeAutospacing="0" w:after="0" w:afterAutospacing="0"/>
        <w:jc w:val="lowKashida"/>
        <w:rPr>
          <w:rFonts w:ascii="Traditional Arabic" w:hAnsi="Traditional Arabic" w:cs="Traditional Arabic"/>
          <w:sz w:val="32"/>
          <w:szCs w:val="32"/>
        </w:rPr>
      </w:pPr>
      <w:r w:rsidRPr="009F0974">
        <w:rPr>
          <w:rFonts w:ascii="Traditional Arabic" w:hAnsi="Traditional Arabic" w:cs="Traditional Arabic"/>
          <w:b/>
          <w:bCs/>
          <w:sz w:val="32"/>
          <w:szCs w:val="32"/>
          <w:rtl/>
        </w:rPr>
        <w:t>سرعة توفير المعلومات</w:t>
      </w:r>
      <w:r w:rsidRPr="009F0974">
        <w:rPr>
          <w:rFonts w:ascii="Traditional Arabic" w:hAnsi="Traditional Arabic" w:cs="Traditional Arabic"/>
          <w:b/>
          <w:bCs/>
          <w:sz w:val="32"/>
          <w:szCs w:val="32"/>
        </w:rPr>
        <w:t>:</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تُمكن الأنظمة الرقمية من توفير التقارير والبيانات المحاسبية بشكل شبه فوري، مما يدعم اتخاذ قرارات سريعة ومبنية على معلومات حديثة، وهو أمر بالغ الأهمية في بيئة الأعمال المتغيرة</w:t>
      </w:r>
      <w:r w:rsidRPr="009F0974">
        <w:rPr>
          <w:rFonts w:ascii="Traditional Arabic" w:hAnsi="Traditional Arabic" w:cs="Traditional Arabic"/>
          <w:sz w:val="32"/>
          <w:szCs w:val="32"/>
        </w:rPr>
        <w:t xml:space="preserve"> </w:t>
      </w:r>
      <w:r w:rsidRPr="00374726">
        <w:rPr>
          <w:rFonts w:ascii="Garamond" w:hAnsi="Garamond" w:cstheme="majorBidi"/>
        </w:rPr>
        <w:t>(Li &amp; Chen</w:t>
      </w:r>
      <w:r w:rsidRPr="009E49AC">
        <w:rPr>
          <w:rFonts w:asciiTheme="majorBidi" w:hAnsiTheme="majorBidi" w:cstheme="majorBidi"/>
        </w:rPr>
        <w:t xml:space="preserve">, </w:t>
      </w:r>
      <w:r w:rsidRPr="00374726">
        <w:rPr>
          <w:rFonts w:ascii="Garamond" w:hAnsi="Garamond" w:cstheme="majorBidi"/>
        </w:rPr>
        <w:t>2019).</w:t>
      </w:r>
    </w:p>
    <w:p w14:paraId="2493E839" w14:textId="77777777" w:rsidR="00326DB9" w:rsidRPr="009F0974" w:rsidRDefault="00326DB9" w:rsidP="00D132F3">
      <w:pPr>
        <w:pStyle w:val="NormalWeb"/>
        <w:numPr>
          <w:ilvl w:val="0"/>
          <w:numId w:val="18"/>
        </w:numPr>
        <w:bidi/>
        <w:spacing w:before="0" w:beforeAutospacing="0" w:after="0" w:afterAutospacing="0"/>
        <w:jc w:val="lowKashida"/>
        <w:rPr>
          <w:rFonts w:ascii="Traditional Arabic" w:hAnsi="Traditional Arabic" w:cs="Traditional Arabic"/>
          <w:sz w:val="32"/>
          <w:szCs w:val="32"/>
        </w:rPr>
      </w:pPr>
      <w:r w:rsidRPr="009F0974">
        <w:rPr>
          <w:rFonts w:ascii="Traditional Arabic" w:hAnsi="Traditional Arabic" w:cs="Traditional Arabic"/>
          <w:b/>
          <w:bCs/>
          <w:sz w:val="32"/>
          <w:szCs w:val="32"/>
          <w:rtl/>
        </w:rPr>
        <w:t>التكامل بين الإدارات</w:t>
      </w:r>
      <w:r w:rsidRPr="009F0974">
        <w:rPr>
          <w:rFonts w:ascii="Traditional Arabic" w:hAnsi="Traditional Arabic" w:cs="Traditional Arabic"/>
          <w:b/>
          <w:bCs/>
          <w:sz w:val="32"/>
          <w:szCs w:val="32"/>
        </w:rPr>
        <w:t>:</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 xml:space="preserve">تسهل نظم المعلومات المحاسبية الرقمية المتكاملة تبادل المعلومات بين مختلف إدارات البنك (مثل الخزانة، الائتمان، العمليات)، مما يخلق رؤية موحدة للعميل </w:t>
      </w:r>
      <w:r w:rsidRPr="009F0974">
        <w:rPr>
          <w:rFonts w:ascii="Traditional Arabic" w:hAnsi="Traditional Arabic" w:cs="Traditional Arabic" w:hint="cs"/>
          <w:sz w:val="32"/>
          <w:szCs w:val="32"/>
          <w:rtl/>
        </w:rPr>
        <w:t>والعمليات</w:t>
      </w:r>
      <w:r w:rsidRPr="009E49AC">
        <w:rPr>
          <w:rFonts w:asciiTheme="majorBidi" w:hAnsiTheme="majorBidi" w:cstheme="majorBidi"/>
        </w:rPr>
        <w:t xml:space="preserve">. </w:t>
      </w:r>
      <w:r w:rsidRPr="00374726">
        <w:rPr>
          <w:rFonts w:ascii="Garamond" w:hAnsi="Garamond" w:cstheme="majorBidi"/>
        </w:rPr>
        <w:t>(Al-Zahrani, 2021</w:t>
      </w:r>
      <w:r w:rsidRPr="009E49AC">
        <w:rPr>
          <w:rFonts w:asciiTheme="majorBidi" w:hAnsiTheme="majorBidi" w:cstheme="majorBidi"/>
        </w:rPr>
        <w:t>).</w:t>
      </w:r>
    </w:p>
    <w:p w14:paraId="5940A234" w14:textId="77777777" w:rsidR="00326DB9" w:rsidRPr="009F0974" w:rsidRDefault="00326DB9" w:rsidP="00D132F3">
      <w:pPr>
        <w:pStyle w:val="NormalWeb"/>
        <w:numPr>
          <w:ilvl w:val="0"/>
          <w:numId w:val="18"/>
        </w:numPr>
        <w:bidi/>
        <w:spacing w:before="0" w:beforeAutospacing="0" w:after="0" w:afterAutospacing="0"/>
        <w:jc w:val="lowKashida"/>
        <w:rPr>
          <w:rFonts w:ascii="Traditional Arabic" w:hAnsi="Traditional Arabic" w:cs="Traditional Arabic"/>
          <w:sz w:val="32"/>
          <w:szCs w:val="32"/>
        </w:rPr>
      </w:pPr>
      <w:r w:rsidRPr="009F0974">
        <w:rPr>
          <w:rFonts w:ascii="Traditional Arabic" w:hAnsi="Traditional Arabic" w:cs="Traditional Arabic"/>
          <w:b/>
          <w:bCs/>
          <w:sz w:val="32"/>
          <w:szCs w:val="32"/>
          <w:rtl/>
        </w:rPr>
        <w:lastRenderedPageBreak/>
        <w:t>زيادة الشفافية والامتثال</w:t>
      </w:r>
      <w:r w:rsidRPr="009F0974">
        <w:rPr>
          <w:rFonts w:ascii="Traditional Arabic" w:hAnsi="Traditional Arabic" w:cs="Traditional Arabic"/>
          <w:b/>
          <w:bCs/>
          <w:sz w:val="32"/>
          <w:szCs w:val="32"/>
        </w:rPr>
        <w:t>:</w:t>
      </w:r>
      <w:r w:rsidRPr="009F0974">
        <w:rPr>
          <w:rFonts w:ascii="Traditional Arabic" w:hAnsi="Traditional Arabic" w:cs="Traditional Arabic"/>
          <w:sz w:val="32"/>
          <w:szCs w:val="32"/>
        </w:rPr>
        <w:t xml:space="preserve"> </w:t>
      </w:r>
      <w:r w:rsidRPr="009F0974">
        <w:rPr>
          <w:rFonts w:ascii="Traditional Arabic" w:hAnsi="Traditional Arabic" w:cs="Traditional Arabic"/>
          <w:sz w:val="32"/>
          <w:szCs w:val="32"/>
          <w:rtl/>
        </w:rPr>
        <w:t>تساعد الأنظمة الرقمية على تتبع المعاملات بشكل أفضل، وتطبيق الضوابط الداخلية بكفاءة أعلى، مما يعزز الشفافية ويسهل عمليات المراجعة والتدقيق، ويساهم في الامتثال للوائح بنك الكويت المركزي ومعايير مجلس الخدمات المالية الإسلامية</w:t>
      </w:r>
      <w:r w:rsidRPr="009F0974">
        <w:rPr>
          <w:rFonts w:ascii="Traditional Arabic" w:hAnsi="Traditional Arabic" w:cs="Traditional Arabic"/>
          <w:sz w:val="32"/>
          <w:szCs w:val="32"/>
        </w:rPr>
        <w:t xml:space="preserve"> </w:t>
      </w:r>
      <w:r w:rsidRPr="00374726">
        <w:rPr>
          <w:rFonts w:ascii="Garamond" w:hAnsi="Garamond" w:cstheme="majorBidi"/>
        </w:rPr>
        <w:t>(IFSB Standards, 2018; Central Bank of Kuwait</w:t>
      </w:r>
      <w:r w:rsidRPr="009E49AC">
        <w:rPr>
          <w:rFonts w:asciiTheme="majorBidi" w:hAnsiTheme="majorBidi" w:cstheme="majorBidi"/>
        </w:rPr>
        <w:t>, 2021).</w:t>
      </w:r>
    </w:p>
    <w:p w14:paraId="1F9B9A61" w14:textId="07638016" w:rsidR="00326DB9" w:rsidRPr="00EF7D66" w:rsidRDefault="00326DB9" w:rsidP="00D132F3">
      <w:pPr>
        <w:pStyle w:val="NormalWeb"/>
        <w:bidi/>
        <w:spacing w:before="0" w:beforeAutospacing="0" w:after="0" w:afterAutospacing="0"/>
        <w:jc w:val="lowKashida"/>
        <w:rPr>
          <w:rFonts w:ascii="Traditional Arabic" w:hAnsi="Traditional Arabic" w:cs="Traditional Arabic"/>
          <w:sz w:val="32"/>
          <w:szCs w:val="32"/>
        </w:rPr>
      </w:pPr>
      <w:r>
        <w:rPr>
          <w:b/>
          <w:bCs/>
          <w:rtl/>
        </w:rPr>
        <w:t>التداعيات على الموارد البشرية والضوابط</w:t>
      </w:r>
      <w:r>
        <w:rPr>
          <w:b/>
          <w:bCs/>
        </w:rPr>
        <w:t>:</w:t>
      </w:r>
      <w:r w:rsidR="00D132F3">
        <w:rPr>
          <w:b/>
          <w:bCs/>
        </w:rPr>
        <w:t xml:space="preserve"> </w:t>
      </w:r>
    </w:p>
    <w:p w14:paraId="2F7E4DE3" w14:textId="77777777" w:rsidR="00326DB9" w:rsidRPr="00EF7D66" w:rsidRDefault="00326DB9" w:rsidP="00D132F3">
      <w:pPr>
        <w:pStyle w:val="NormalWeb"/>
        <w:numPr>
          <w:ilvl w:val="0"/>
          <w:numId w:val="19"/>
        </w:numPr>
        <w:bidi/>
        <w:spacing w:before="0" w:beforeAutospacing="0" w:after="0" w:afterAutospacing="0"/>
        <w:jc w:val="lowKashida"/>
        <w:rPr>
          <w:rFonts w:ascii="Traditional Arabic" w:hAnsi="Traditional Arabic" w:cs="Traditional Arabic"/>
          <w:sz w:val="32"/>
          <w:szCs w:val="32"/>
        </w:rPr>
      </w:pPr>
      <w:r w:rsidRPr="00EF7D66">
        <w:rPr>
          <w:rFonts w:ascii="Traditional Arabic" w:hAnsi="Traditional Arabic" w:cs="Traditional Arabic"/>
          <w:b/>
          <w:bCs/>
          <w:sz w:val="32"/>
          <w:szCs w:val="32"/>
          <w:rtl/>
        </w:rPr>
        <w:t>تطوير المهارات</w:t>
      </w:r>
      <w:r w:rsidRPr="00EF7D66">
        <w:rPr>
          <w:rFonts w:ascii="Traditional Arabic" w:hAnsi="Traditional Arabic" w:cs="Traditional Arabic"/>
          <w:b/>
          <w:bCs/>
          <w:sz w:val="32"/>
          <w:szCs w:val="32"/>
        </w:rPr>
        <w:t>:</w:t>
      </w:r>
      <w:r w:rsidRPr="00EF7D66">
        <w:rPr>
          <w:rFonts w:ascii="Traditional Arabic" w:hAnsi="Traditional Arabic" w:cs="Traditional Arabic"/>
          <w:sz w:val="32"/>
          <w:szCs w:val="32"/>
        </w:rPr>
        <w:t xml:space="preserve"> </w:t>
      </w:r>
      <w:r w:rsidRPr="00EF7D66">
        <w:rPr>
          <w:rFonts w:ascii="Traditional Arabic" w:hAnsi="Traditional Arabic" w:cs="Traditional Arabic"/>
          <w:sz w:val="32"/>
          <w:szCs w:val="32"/>
          <w:rtl/>
        </w:rPr>
        <w:t>يتطلب التحول الرقمي إعادة تدريب وتأهيل المحاسبين والمحللين الماليين ليصبحوا أكثر كفاءة في استخدام الأدوات الرقمية، وتحليل البيانات الضخمة، وفهم التقنيات الحديثة مثل الذكاء الاصطناعي. هذا التحول يشمل تطوير مهارات تحليلية وتكنولوجية جديدة</w:t>
      </w:r>
      <w:r w:rsidRPr="00374726">
        <w:rPr>
          <w:rFonts w:ascii="Garamond" w:hAnsi="Garamond" w:cs="Traditional Arabic"/>
          <w:sz w:val="32"/>
          <w:szCs w:val="32"/>
        </w:rPr>
        <w:t xml:space="preserve"> </w:t>
      </w:r>
      <w:r w:rsidRPr="00374726">
        <w:rPr>
          <w:rFonts w:ascii="Garamond" w:hAnsi="Garamond" w:cs="Traditional Arabic"/>
        </w:rPr>
        <w:t>(Khalaf &amp; Al-Mulla, 2020</w:t>
      </w:r>
      <w:r w:rsidRPr="00374726">
        <w:rPr>
          <w:rFonts w:ascii="Garamond" w:hAnsi="Garamond" w:cs="Traditional Arabic"/>
          <w:sz w:val="32"/>
          <w:szCs w:val="32"/>
        </w:rPr>
        <w:t>).</w:t>
      </w:r>
    </w:p>
    <w:p w14:paraId="1B7EBE5B" w14:textId="77777777" w:rsidR="00326DB9" w:rsidRPr="00EF7D66" w:rsidRDefault="00326DB9" w:rsidP="00D132F3">
      <w:pPr>
        <w:pStyle w:val="NormalWeb"/>
        <w:numPr>
          <w:ilvl w:val="0"/>
          <w:numId w:val="19"/>
        </w:numPr>
        <w:bidi/>
        <w:spacing w:before="0" w:beforeAutospacing="0" w:after="0" w:afterAutospacing="0"/>
        <w:jc w:val="lowKashida"/>
        <w:rPr>
          <w:rFonts w:ascii="Traditional Arabic" w:hAnsi="Traditional Arabic" w:cs="Traditional Arabic"/>
          <w:sz w:val="32"/>
          <w:szCs w:val="32"/>
        </w:rPr>
      </w:pPr>
      <w:r w:rsidRPr="00EF7D66">
        <w:rPr>
          <w:rFonts w:ascii="Traditional Arabic" w:hAnsi="Traditional Arabic" w:cs="Traditional Arabic"/>
          <w:b/>
          <w:bCs/>
          <w:sz w:val="32"/>
          <w:szCs w:val="32"/>
          <w:rtl/>
        </w:rPr>
        <w:t>تغير طبيعة العمل المحاسبي</w:t>
      </w:r>
      <w:r w:rsidRPr="00EF7D66">
        <w:rPr>
          <w:rFonts w:ascii="Traditional Arabic" w:hAnsi="Traditional Arabic" w:cs="Traditional Arabic"/>
          <w:b/>
          <w:bCs/>
          <w:sz w:val="32"/>
          <w:szCs w:val="32"/>
        </w:rPr>
        <w:t>:</w:t>
      </w:r>
      <w:r w:rsidRPr="00EF7D66">
        <w:rPr>
          <w:rFonts w:ascii="Traditional Arabic" w:hAnsi="Traditional Arabic" w:cs="Traditional Arabic"/>
          <w:sz w:val="32"/>
          <w:szCs w:val="32"/>
        </w:rPr>
        <w:t xml:space="preserve"> </w:t>
      </w:r>
      <w:r w:rsidRPr="00EF7D66">
        <w:rPr>
          <w:rFonts w:ascii="Traditional Arabic" w:hAnsi="Traditional Arabic" w:cs="Traditional Arabic"/>
          <w:sz w:val="32"/>
          <w:szCs w:val="32"/>
          <w:rtl/>
        </w:rPr>
        <w:t>تتحول المهام الروتينية والمتكررة نحو الأتمتة، مما يحرر المحاسبين للتركيز على أدوار أكثر استراتيجية وقيمة مضافة، مثل التحليل، والاستشارات، والمراجعة الداخلية الفعالة</w:t>
      </w:r>
      <w:r w:rsidRPr="00EF7D66">
        <w:rPr>
          <w:rFonts w:ascii="Traditional Arabic" w:hAnsi="Traditional Arabic" w:cs="Traditional Arabic"/>
          <w:sz w:val="32"/>
          <w:szCs w:val="32"/>
        </w:rPr>
        <w:t xml:space="preserve"> </w:t>
      </w:r>
      <w:r w:rsidRPr="009E49AC">
        <w:rPr>
          <w:rFonts w:asciiTheme="majorBidi" w:hAnsiTheme="majorBidi" w:cstheme="majorBidi"/>
        </w:rPr>
        <w:t>(</w:t>
      </w:r>
      <w:r w:rsidRPr="00374726">
        <w:rPr>
          <w:rFonts w:ascii="Garamond" w:hAnsi="Garamond" w:cstheme="majorBidi"/>
        </w:rPr>
        <w:t>Chen et al., 2021</w:t>
      </w:r>
      <w:r w:rsidRPr="00EF7D66">
        <w:rPr>
          <w:rFonts w:ascii="Traditional Arabic" w:hAnsi="Traditional Arabic" w:cs="Traditional Arabic"/>
          <w:sz w:val="32"/>
          <w:szCs w:val="32"/>
        </w:rPr>
        <w:t>).</w:t>
      </w:r>
    </w:p>
    <w:p w14:paraId="68596812" w14:textId="77777777" w:rsidR="00326DB9" w:rsidRPr="000F5ABF" w:rsidRDefault="00326DB9" w:rsidP="00D132F3">
      <w:pPr>
        <w:pStyle w:val="NormalWeb"/>
        <w:numPr>
          <w:ilvl w:val="0"/>
          <w:numId w:val="19"/>
        </w:numPr>
        <w:bidi/>
        <w:spacing w:before="0" w:beforeAutospacing="0" w:after="0" w:afterAutospacing="0"/>
        <w:jc w:val="lowKashida"/>
        <w:rPr>
          <w:rFonts w:ascii="Traditional Arabic" w:hAnsi="Traditional Arabic" w:cs="Traditional Arabic"/>
          <w:sz w:val="32"/>
          <w:szCs w:val="32"/>
          <w:rtl/>
        </w:rPr>
      </w:pPr>
      <w:r w:rsidRPr="00EF7D66">
        <w:rPr>
          <w:rFonts w:ascii="Traditional Arabic" w:hAnsi="Traditional Arabic" w:cs="Traditional Arabic"/>
          <w:b/>
          <w:bCs/>
          <w:sz w:val="32"/>
          <w:szCs w:val="32"/>
          <w:rtl/>
        </w:rPr>
        <w:t>تكييف الضوابط الداخلية</w:t>
      </w:r>
      <w:r w:rsidRPr="00EF7D66">
        <w:rPr>
          <w:rFonts w:ascii="Traditional Arabic" w:hAnsi="Traditional Arabic" w:cs="Traditional Arabic"/>
          <w:b/>
          <w:bCs/>
          <w:sz w:val="32"/>
          <w:szCs w:val="32"/>
        </w:rPr>
        <w:t>:</w:t>
      </w:r>
      <w:r w:rsidRPr="00EF7D66">
        <w:rPr>
          <w:rFonts w:ascii="Traditional Arabic" w:hAnsi="Traditional Arabic" w:cs="Traditional Arabic"/>
          <w:sz w:val="32"/>
          <w:szCs w:val="32"/>
        </w:rPr>
        <w:t xml:space="preserve"> </w:t>
      </w:r>
      <w:r w:rsidRPr="00EF7D66">
        <w:rPr>
          <w:rFonts w:ascii="Traditional Arabic" w:hAnsi="Traditional Arabic" w:cs="Traditional Arabic"/>
          <w:sz w:val="32"/>
          <w:szCs w:val="32"/>
          <w:rtl/>
        </w:rPr>
        <w:t>يجب إعادة تقييم وتكييف الضوابط الداخلية لتتناسب مع البيئة الرقمية الجديدة. هذا يشمل تصميم ضوابط آلية فعالة، وتعزيز الأمن السيبراني</w:t>
      </w:r>
      <w:r>
        <w:rPr>
          <w:rFonts w:ascii="Traditional Arabic" w:hAnsi="Traditional Arabic" w:cs="Traditional Arabic" w:hint="cs"/>
          <w:sz w:val="32"/>
          <w:szCs w:val="32"/>
          <w:rtl/>
        </w:rPr>
        <w:t>،</w:t>
      </w:r>
      <w:r w:rsidRPr="00EF7D66">
        <w:rPr>
          <w:rFonts w:ascii="Traditional Arabic" w:hAnsi="Traditional Arabic" w:cs="Traditional Arabic"/>
          <w:sz w:val="32"/>
          <w:szCs w:val="32"/>
          <w:rtl/>
        </w:rPr>
        <w:t xml:space="preserve"> وضوابط الوصول إلى البيانات</w:t>
      </w:r>
      <w:r w:rsidRPr="00374726">
        <w:rPr>
          <w:rFonts w:ascii="Garamond" w:hAnsi="Garamond" w:cs="Traditional Arabic"/>
        </w:rPr>
        <w:t xml:space="preserve"> (Access controls</w:t>
      </w:r>
      <w:r w:rsidRPr="00EF7D66">
        <w:rPr>
          <w:rFonts w:ascii="Traditional Arabic" w:hAnsi="Traditional Arabic" w:cs="Traditional Arabic"/>
          <w:sz w:val="32"/>
          <w:szCs w:val="32"/>
        </w:rPr>
        <w:t>)</w:t>
      </w:r>
      <w:r w:rsidRPr="00EF7D66">
        <w:rPr>
          <w:rFonts w:ascii="Traditional Arabic" w:hAnsi="Traditional Arabic" w:cs="Traditional Arabic"/>
          <w:sz w:val="32"/>
          <w:szCs w:val="32"/>
          <w:rtl/>
        </w:rPr>
        <w:t>، لضمان سلامة وموثوقية المعلومات المحاسبية</w:t>
      </w:r>
      <w:r w:rsidRPr="00EF7D66">
        <w:rPr>
          <w:rFonts w:ascii="Traditional Arabic" w:hAnsi="Traditional Arabic" w:cs="Traditional Arabic"/>
          <w:sz w:val="32"/>
          <w:szCs w:val="32"/>
        </w:rPr>
        <w:t xml:space="preserve"> </w:t>
      </w:r>
      <w:r w:rsidRPr="00374726">
        <w:rPr>
          <w:rFonts w:ascii="Garamond" w:hAnsi="Garamond" w:cs="Traditional Arabic"/>
          <w:sz w:val="32"/>
          <w:szCs w:val="32"/>
        </w:rPr>
        <w:t>(</w:t>
      </w:r>
      <w:r w:rsidRPr="00374726">
        <w:rPr>
          <w:rFonts w:ascii="Garamond" w:hAnsi="Garamond" w:cs="Traditional Arabic"/>
        </w:rPr>
        <w:t>IFSB Standards, 2018</w:t>
      </w:r>
      <w:r w:rsidRPr="00EF7D66">
        <w:rPr>
          <w:rFonts w:ascii="Traditional Arabic" w:hAnsi="Traditional Arabic" w:cs="Traditional Arabic"/>
          <w:sz w:val="32"/>
          <w:szCs w:val="32"/>
        </w:rPr>
        <w:t>).</w:t>
      </w:r>
    </w:p>
    <w:p w14:paraId="48FA7186" w14:textId="77777777" w:rsidR="00326DB9" w:rsidRPr="00EF7D66" w:rsidRDefault="00326DB9" w:rsidP="00D132F3">
      <w:pPr>
        <w:pStyle w:val="NormalWeb"/>
        <w:bidi/>
        <w:spacing w:before="0" w:beforeAutospacing="0" w:after="0" w:afterAutospacing="0"/>
        <w:jc w:val="lowKashida"/>
        <w:rPr>
          <w:rFonts w:ascii="Traditional Arabic" w:hAnsi="Traditional Arabic" w:cs="Traditional Arabic"/>
          <w:sz w:val="32"/>
          <w:szCs w:val="32"/>
        </w:rPr>
      </w:pPr>
      <w:r w:rsidRPr="00EF7D66">
        <w:rPr>
          <w:rFonts w:ascii="Traditional Arabic" w:hAnsi="Traditional Arabic" w:cs="Traditional Arabic"/>
          <w:b/>
          <w:bCs/>
          <w:sz w:val="32"/>
          <w:szCs w:val="32"/>
          <w:rtl/>
        </w:rPr>
        <w:t>تقنيات متقدمة ودورها المستقبلي في نظم المعلومات المحاسبية</w:t>
      </w:r>
      <w:r w:rsidRPr="00EF7D66">
        <w:rPr>
          <w:rFonts w:ascii="Traditional Arabic" w:hAnsi="Traditional Arabic" w:cs="Traditional Arabic"/>
          <w:b/>
          <w:bCs/>
          <w:sz w:val="32"/>
          <w:szCs w:val="32"/>
        </w:rPr>
        <w:t>:</w:t>
      </w:r>
    </w:p>
    <w:p w14:paraId="4AE20C9A" w14:textId="77777777" w:rsidR="00326DB9" w:rsidRPr="00EF7D66" w:rsidRDefault="00326DB9" w:rsidP="00D132F3">
      <w:pPr>
        <w:pStyle w:val="NormalWeb"/>
        <w:numPr>
          <w:ilvl w:val="0"/>
          <w:numId w:val="20"/>
        </w:numPr>
        <w:bidi/>
        <w:spacing w:before="0" w:beforeAutospacing="0" w:after="0" w:afterAutospacing="0"/>
        <w:jc w:val="lowKashida"/>
        <w:rPr>
          <w:rFonts w:ascii="Traditional Arabic" w:hAnsi="Traditional Arabic" w:cs="Traditional Arabic"/>
          <w:sz w:val="32"/>
          <w:szCs w:val="32"/>
        </w:rPr>
      </w:pPr>
      <w:r w:rsidRPr="00EF7D66">
        <w:rPr>
          <w:rFonts w:ascii="Traditional Arabic" w:hAnsi="Traditional Arabic" w:cs="Traditional Arabic"/>
          <w:b/>
          <w:bCs/>
          <w:sz w:val="32"/>
          <w:szCs w:val="32"/>
          <w:rtl/>
        </w:rPr>
        <w:t xml:space="preserve">أتمتة </w:t>
      </w:r>
      <w:r w:rsidRPr="00EF7D66">
        <w:rPr>
          <w:rFonts w:ascii="Traditional Arabic" w:hAnsi="Traditional Arabic" w:cs="Traditional Arabic" w:hint="cs"/>
          <w:b/>
          <w:bCs/>
          <w:sz w:val="32"/>
          <w:szCs w:val="32"/>
          <w:rtl/>
        </w:rPr>
        <w:t>العمليات:</w:t>
      </w:r>
      <w:r w:rsidRPr="00EF7D66">
        <w:rPr>
          <w:rFonts w:ascii="Traditional Arabic" w:hAnsi="Traditional Arabic" w:cs="Traditional Arabic"/>
          <w:sz w:val="32"/>
          <w:szCs w:val="32"/>
        </w:rPr>
        <w:t xml:space="preserve"> </w:t>
      </w:r>
      <w:r w:rsidRPr="00EF7D66">
        <w:rPr>
          <w:rFonts w:ascii="Traditional Arabic" w:hAnsi="Traditional Arabic" w:cs="Traditional Arabic"/>
          <w:sz w:val="32"/>
          <w:szCs w:val="32"/>
          <w:rtl/>
        </w:rPr>
        <w:t>تُستخدم</w:t>
      </w:r>
      <w:r w:rsidRPr="00EF7D66">
        <w:rPr>
          <w:rFonts w:ascii="Traditional Arabic" w:hAnsi="Traditional Arabic" w:cs="Traditional Arabic"/>
          <w:sz w:val="32"/>
          <w:szCs w:val="32"/>
        </w:rPr>
        <w:t xml:space="preserve"> </w:t>
      </w:r>
      <w:r w:rsidRPr="00EF7D66">
        <w:rPr>
          <w:rFonts w:ascii="Traditional Arabic" w:hAnsi="Traditional Arabic" w:cs="Traditional Arabic"/>
          <w:sz w:val="32"/>
          <w:szCs w:val="32"/>
          <w:rtl/>
        </w:rPr>
        <w:t>لأتمتة المهام المحاسبية الروتينية والمتكررة داخل نظم المعلومات المحاسبية، مثل إدخال البيانات، مطابقة الفواتير، وتسوية الحسابات</w:t>
      </w:r>
      <w:r w:rsidRPr="00EF7D66">
        <w:rPr>
          <w:rFonts w:ascii="Traditional Arabic" w:hAnsi="Traditional Arabic" w:cs="Traditional Arabic"/>
          <w:sz w:val="32"/>
          <w:szCs w:val="32"/>
        </w:rPr>
        <w:t xml:space="preserve">. </w:t>
      </w:r>
      <w:r w:rsidRPr="00EF7D66">
        <w:rPr>
          <w:rFonts w:ascii="Traditional Arabic" w:hAnsi="Traditional Arabic" w:cs="Traditional Arabic"/>
          <w:sz w:val="32"/>
          <w:szCs w:val="32"/>
          <w:rtl/>
        </w:rPr>
        <w:t>هذا يزيد الكفاءة ويقلل الأخطاء التشغيلية، مما يحرر الموظفين للتركيز على مهام أكثر تعقيدًا وقيمة</w:t>
      </w:r>
      <w:r w:rsidRPr="00EF7D66">
        <w:rPr>
          <w:rFonts w:ascii="Traditional Arabic" w:hAnsi="Traditional Arabic" w:cs="Traditional Arabic"/>
          <w:sz w:val="32"/>
          <w:szCs w:val="32"/>
        </w:rPr>
        <w:t xml:space="preserve"> </w:t>
      </w:r>
      <w:r w:rsidRPr="00374726">
        <w:rPr>
          <w:rFonts w:ascii="Garamond" w:hAnsi="Garamond" w:cs="Traditional Arabic"/>
          <w:sz w:val="32"/>
          <w:szCs w:val="32"/>
        </w:rPr>
        <w:t>(</w:t>
      </w:r>
      <w:r w:rsidRPr="00374726">
        <w:rPr>
          <w:rFonts w:ascii="Garamond" w:hAnsi="Garamond" w:cs="Traditional Arabic"/>
        </w:rPr>
        <w:t>Deloitte, 2021</w:t>
      </w:r>
      <w:r w:rsidRPr="00EF7D66">
        <w:rPr>
          <w:rFonts w:ascii="Traditional Arabic" w:hAnsi="Traditional Arabic" w:cs="Traditional Arabic"/>
          <w:sz w:val="32"/>
          <w:szCs w:val="32"/>
        </w:rPr>
        <w:t>).</w:t>
      </w:r>
    </w:p>
    <w:p w14:paraId="5D0A5180" w14:textId="77777777" w:rsidR="00326DB9" w:rsidRPr="00EF7D66" w:rsidRDefault="00326DB9" w:rsidP="00D132F3">
      <w:pPr>
        <w:pStyle w:val="NormalWeb"/>
        <w:numPr>
          <w:ilvl w:val="0"/>
          <w:numId w:val="20"/>
        </w:numPr>
        <w:bidi/>
        <w:spacing w:before="0" w:beforeAutospacing="0" w:after="0" w:afterAutospacing="0"/>
        <w:jc w:val="lowKashida"/>
        <w:rPr>
          <w:rFonts w:ascii="Traditional Arabic" w:hAnsi="Traditional Arabic" w:cs="Traditional Arabic"/>
          <w:sz w:val="32"/>
          <w:szCs w:val="32"/>
        </w:rPr>
      </w:pPr>
      <w:r w:rsidRPr="00EF7D66">
        <w:rPr>
          <w:rFonts w:ascii="Traditional Arabic" w:hAnsi="Traditional Arabic" w:cs="Traditional Arabic"/>
          <w:b/>
          <w:bCs/>
          <w:sz w:val="32"/>
          <w:szCs w:val="32"/>
          <w:rtl/>
        </w:rPr>
        <w:t xml:space="preserve">التحليلات </w:t>
      </w:r>
      <w:r w:rsidRPr="00EF7D66">
        <w:rPr>
          <w:rFonts w:ascii="Traditional Arabic" w:hAnsi="Traditional Arabic" w:cs="Traditional Arabic" w:hint="cs"/>
          <w:b/>
          <w:bCs/>
          <w:sz w:val="32"/>
          <w:szCs w:val="32"/>
          <w:rtl/>
        </w:rPr>
        <w:t>التنبؤية</w:t>
      </w:r>
      <w:r>
        <w:rPr>
          <w:rFonts w:ascii="Traditional Arabic" w:hAnsi="Traditional Arabic" w:cs="Traditional Arabic" w:hint="cs"/>
          <w:b/>
          <w:bCs/>
          <w:sz w:val="32"/>
          <w:szCs w:val="32"/>
          <w:rtl/>
        </w:rPr>
        <w:t>:</w:t>
      </w:r>
      <w:r w:rsidRPr="00EF7D66">
        <w:rPr>
          <w:rFonts w:ascii="Traditional Arabic" w:hAnsi="Traditional Arabic" w:cs="Traditional Arabic"/>
          <w:sz w:val="32"/>
          <w:szCs w:val="32"/>
        </w:rPr>
        <w:t xml:space="preserve"> </w:t>
      </w:r>
      <w:r w:rsidRPr="00EF7D66">
        <w:rPr>
          <w:rFonts w:ascii="Traditional Arabic" w:hAnsi="Traditional Arabic" w:cs="Traditional Arabic"/>
          <w:sz w:val="32"/>
          <w:szCs w:val="32"/>
          <w:rtl/>
        </w:rPr>
        <w:t>تتجه نظم المعلومات المحاسبية نحو دمج قدرات التحليلات التنبؤية بشكل أعمق، خاصة في مجال إدارة المخاطر الائتمانية</w:t>
      </w:r>
      <w:r w:rsidRPr="00EF7D66">
        <w:rPr>
          <w:rFonts w:ascii="Traditional Arabic" w:hAnsi="Traditional Arabic" w:cs="Traditional Arabic"/>
          <w:sz w:val="32"/>
          <w:szCs w:val="32"/>
        </w:rPr>
        <w:t xml:space="preserve">. </w:t>
      </w:r>
      <w:r w:rsidRPr="00EF7D66">
        <w:rPr>
          <w:rFonts w:ascii="Traditional Arabic" w:hAnsi="Traditional Arabic" w:cs="Traditional Arabic"/>
          <w:sz w:val="32"/>
          <w:szCs w:val="32"/>
          <w:rtl/>
        </w:rPr>
        <w:t>فباستخدام البيانات التاريخية وأنماط السداد، يمكن للنظام التنبؤ باحتمالات التعثر المستقبلي بشكل أكثر دقة، مما يتيح للبنوك اتخاذ إجراءات استباقية</w:t>
      </w:r>
      <w:r w:rsidRPr="00EF7D66">
        <w:rPr>
          <w:rFonts w:ascii="Traditional Arabic" w:hAnsi="Traditional Arabic" w:cs="Traditional Arabic"/>
          <w:sz w:val="32"/>
          <w:szCs w:val="32"/>
        </w:rPr>
        <w:t xml:space="preserve"> </w:t>
      </w:r>
      <w:r w:rsidRPr="00374726">
        <w:rPr>
          <w:rFonts w:ascii="Garamond" w:hAnsi="Garamond" w:cs="Traditional Arabic"/>
          <w:sz w:val="32"/>
          <w:szCs w:val="32"/>
        </w:rPr>
        <w:t>(</w:t>
      </w:r>
      <w:r w:rsidRPr="00374726">
        <w:rPr>
          <w:rFonts w:ascii="Garamond" w:hAnsi="Garamond" w:cs="Traditional Arabic"/>
        </w:rPr>
        <w:t>Garcia &amp; Lopez, 2021</w:t>
      </w:r>
      <w:r w:rsidRPr="00374726">
        <w:rPr>
          <w:rFonts w:ascii="Garamond" w:hAnsi="Garamond" w:cs="Traditional Arabic"/>
          <w:sz w:val="32"/>
          <w:szCs w:val="32"/>
        </w:rPr>
        <w:t>).</w:t>
      </w:r>
    </w:p>
    <w:p w14:paraId="6FE5885E" w14:textId="20F2199A" w:rsidR="00326DB9" w:rsidRPr="00506002" w:rsidRDefault="00326DB9" w:rsidP="00D132F3">
      <w:pPr>
        <w:pStyle w:val="NormalWeb"/>
        <w:numPr>
          <w:ilvl w:val="0"/>
          <w:numId w:val="20"/>
        </w:numPr>
        <w:bidi/>
        <w:spacing w:before="0" w:beforeAutospacing="0" w:after="0" w:afterAutospacing="0"/>
        <w:jc w:val="lowKashida"/>
        <w:rPr>
          <w:rFonts w:ascii="Traditional Arabic" w:hAnsi="Traditional Arabic" w:cs="Traditional Arabic"/>
          <w:sz w:val="32"/>
          <w:szCs w:val="32"/>
        </w:rPr>
      </w:pPr>
      <w:r w:rsidRPr="00EF7D66">
        <w:rPr>
          <w:rFonts w:ascii="Traditional Arabic" w:hAnsi="Traditional Arabic" w:cs="Traditional Arabic"/>
          <w:b/>
          <w:bCs/>
          <w:sz w:val="32"/>
          <w:szCs w:val="32"/>
          <w:rtl/>
        </w:rPr>
        <w:t>إنترنت الأشياء</w:t>
      </w:r>
      <w:r w:rsidRPr="00EF7D66">
        <w:rPr>
          <w:rFonts w:ascii="Traditional Arabic" w:hAnsi="Traditional Arabic" w:cs="Traditional Arabic"/>
          <w:b/>
          <w:bCs/>
          <w:sz w:val="32"/>
          <w:szCs w:val="32"/>
        </w:rPr>
        <w:t xml:space="preserve"> </w:t>
      </w:r>
      <w:r w:rsidRPr="00EF7D66">
        <w:rPr>
          <w:rFonts w:ascii="Traditional Arabic" w:hAnsi="Traditional Arabic" w:cs="Traditional Arabic"/>
          <w:b/>
          <w:bCs/>
          <w:sz w:val="32"/>
          <w:szCs w:val="32"/>
          <w:rtl/>
        </w:rPr>
        <w:t>في الأصول والضمانات</w:t>
      </w:r>
      <w:r w:rsidRPr="00EF7D66">
        <w:rPr>
          <w:rFonts w:ascii="Traditional Arabic" w:hAnsi="Traditional Arabic" w:cs="Traditional Arabic"/>
          <w:b/>
          <w:bCs/>
          <w:sz w:val="32"/>
          <w:szCs w:val="32"/>
        </w:rPr>
        <w:t>:</w:t>
      </w:r>
      <w:r w:rsidRPr="00EF7D66">
        <w:rPr>
          <w:rFonts w:ascii="Traditional Arabic" w:hAnsi="Traditional Arabic" w:cs="Traditional Arabic"/>
          <w:sz w:val="32"/>
          <w:szCs w:val="32"/>
        </w:rPr>
        <w:t xml:space="preserve"> </w:t>
      </w:r>
      <w:r w:rsidRPr="00EF7D66">
        <w:rPr>
          <w:rFonts w:ascii="Traditional Arabic" w:hAnsi="Traditional Arabic" w:cs="Traditional Arabic"/>
          <w:sz w:val="32"/>
          <w:szCs w:val="32"/>
          <w:rtl/>
        </w:rPr>
        <w:t>على الرغم من أنه لا يزال في مراحله المبكرة، يمكن أن يلعب إنترنت الأشياء دورًا في تتبع وتقييم الأصول المضمونة للتمويل الإسلامي</w:t>
      </w:r>
      <w:r w:rsidRPr="00EF7D66">
        <w:rPr>
          <w:rFonts w:ascii="Traditional Arabic" w:hAnsi="Traditional Arabic" w:cs="Traditional Arabic"/>
          <w:sz w:val="32"/>
          <w:szCs w:val="32"/>
        </w:rPr>
        <w:t xml:space="preserve">. </w:t>
      </w:r>
      <w:r w:rsidRPr="00EF7D66">
        <w:rPr>
          <w:rFonts w:ascii="Traditional Arabic" w:hAnsi="Traditional Arabic" w:cs="Traditional Arabic"/>
          <w:sz w:val="32"/>
          <w:szCs w:val="32"/>
          <w:rtl/>
        </w:rPr>
        <w:t>يمكن للبيانات التي يجمعها إنترنت الأشياء أن تُغذّي نظم المعلومات المحاسبية بمعلومات آنية حول حالة الأصول، مما يؤثر على تقييم المخاطر الائتمانية</w:t>
      </w:r>
      <w:r w:rsidRPr="00374726">
        <w:rPr>
          <w:rFonts w:ascii="Garamond" w:hAnsi="Garamond" w:cstheme="majorBidi"/>
        </w:rPr>
        <w:t xml:space="preserve"> (PwC</w:t>
      </w:r>
      <w:r w:rsidRPr="007755C1">
        <w:rPr>
          <w:rFonts w:asciiTheme="majorBidi" w:hAnsiTheme="majorBidi" w:cstheme="majorBidi"/>
        </w:rPr>
        <w:t xml:space="preserve">, </w:t>
      </w:r>
      <w:r w:rsidRPr="00374726">
        <w:rPr>
          <w:rFonts w:ascii="Garamond" w:hAnsi="Garamond" w:cstheme="majorBidi"/>
        </w:rPr>
        <w:t>2022).</w:t>
      </w:r>
    </w:p>
    <w:p w14:paraId="02CCE185" w14:textId="77777777" w:rsidR="00506002" w:rsidRPr="00EF7D66" w:rsidRDefault="00506002" w:rsidP="00506002">
      <w:pPr>
        <w:pStyle w:val="NormalWeb"/>
        <w:bidi/>
        <w:spacing w:before="0" w:beforeAutospacing="0" w:after="0" w:afterAutospacing="0"/>
        <w:ind w:left="360"/>
        <w:jc w:val="lowKashida"/>
        <w:rPr>
          <w:rFonts w:ascii="Traditional Arabic" w:hAnsi="Traditional Arabic" w:cs="Traditional Arabic"/>
          <w:sz w:val="32"/>
          <w:szCs w:val="32"/>
        </w:rPr>
      </w:pPr>
    </w:p>
    <w:p w14:paraId="53AD7B6D" w14:textId="77777777" w:rsidR="00326DB9" w:rsidRPr="00E66CD4" w:rsidRDefault="00326DB9" w:rsidP="00D132F3">
      <w:pPr>
        <w:bidi/>
        <w:spacing w:after="0" w:line="240" w:lineRule="auto"/>
        <w:jc w:val="lowKashida"/>
        <w:rPr>
          <w:rFonts w:ascii="Traditional Arabic" w:hAnsi="Traditional Arabic" w:cs="Traditional Arabic"/>
          <w:b/>
          <w:bCs/>
          <w:sz w:val="32"/>
          <w:szCs w:val="32"/>
        </w:rPr>
      </w:pPr>
      <w:r w:rsidRPr="00EF7D66">
        <w:rPr>
          <w:rFonts w:ascii="Traditional Arabic" w:hAnsi="Traditional Arabic" w:cs="Traditional Arabic"/>
          <w:b/>
          <w:bCs/>
          <w:sz w:val="32"/>
          <w:szCs w:val="32"/>
          <w:rtl/>
        </w:rPr>
        <w:t>ثالثاً:</w:t>
      </w:r>
      <w:r>
        <w:rPr>
          <w:rFonts w:ascii="Traditional Arabic" w:hAnsi="Traditional Arabic" w:cs="Traditional Arabic"/>
          <w:b/>
          <w:bCs/>
          <w:sz w:val="32"/>
          <w:szCs w:val="32"/>
        </w:rPr>
        <w:t xml:space="preserve"> </w:t>
      </w:r>
      <w:r w:rsidRPr="00EF7D66">
        <w:rPr>
          <w:rFonts w:ascii="Traditional Arabic" w:hAnsi="Traditional Arabic" w:cs="Traditional Arabic"/>
          <w:b/>
          <w:bCs/>
          <w:sz w:val="32"/>
          <w:szCs w:val="32"/>
          <w:rtl/>
        </w:rPr>
        <w:t>التحديات التي تواجه التحول الرقمي لنظم المعلومات المحاسبية</w:t>
      </w:r>
      <w:r w:rsidRPr="00EF7D66">
        <w:rPr>
          <w:rFonts w:ascii="Traditional Arabic" w:hAnsi="Traditional Arabic" w:cs="Traditional Arabic"/>
          <w:b/>
          <w:bCs/>
          <w:sz w:val="32"/>
          <w:szCs w:val="32"/>
        </w:rPr>
        <w:t>:</w:t>
      </w:r>
    </w:p>
    <w:p w14:paraId="4164F969" w14:textId="77777777" w:rsidR="00326DB9" w:rsidRPr="00554EB9" w:rsidRDefault="00326DB9" w:rsidP="00D132F3">
      <w:pPr>
        <w:pStyle w:val="NormalWeb"/>
        <w:numPr>
          <w:ilvl w:val="0"/>
          <w:numId w:val="21"/>
        </w:numPr>
        <w:bidi/>
        <w:spacing w:before="0" w:beforeAutospacing="0" w:after="0" w:afterAutospacing="0"/>
        <w:jc w:val="lowKashida"/>
        <w:rPr>
          <w:rFonts w:ascii="Traditional Arabic" w:hAnsi="Traditional Arabic" w:cs="Traditional Arabic"/>
          <w:sz w:val="32"/>
          <w:szCs w:val="32"/>
        </w:rPr>
      </w:pPr>
      <w:r w:rsidRPr="00554EB9">
        <w:rPr>
          <w:rFonts w:ascii="Traditional Arabic" w:hAnsi="Traditional Arabic" w:cs="Traditional Arabic"/>
          <w:sz w:val="32"/>
          <w:szCs w:val="32"/>
          <w:rtl/>
        </w:rPr>
        <w:t>تكاليف الاستثمار الأولية</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يتطلب تبني التقنيات الرقمية المتقدمة استثمارات رأسمالية كبيرة في الأجهزة والبرمجيات والبنية التحتية، مما قد يشكل تحديًا، خاصة للبنوك ذات الميزانيات المحدودة</w:t>
      </w:r>
      <w:r w:rsidRPr="007755C1">
        <w:rPr>
          <w:rFonts w:asciiTheme="majorBidi" w:hAnsiTheme="majorBidi" w:cstheme="majorBidi"/>
        </w:rPr>
        <w:t xml:space="preserve"> </w:t>
      </w:r>
      <w:r w:rsidRPr="008C10C9">
        <w:rPr>
          <w:rFonts w:ascii="Garamond" w:hAnsi="Garamond" w:cstheme="majorBidi"/>
        </w:rPr>
        <w:t>(Khalaf &amp; Al-Mulla, 2020</w:t>
      </w:r>
      <w:r w:rsidRPr="007755C1">
        <w:rPr>
          <w:rFonts w:asciiTheme="majorBidi" w:hAnsiTheme="majorBidi" w:cstheme="majorBidi"/>
        </w:rPr>
        <w:t>).</w:t>
      </w:r>
    </w:p>
    <w:p w14:paraId="59C111CD" w14:textId="77777777" w:rsidR="00326DB9" w:rsidRPr="00554EB9" w:rsidRDefault="00326DB9" w:rsidP="00D132F3">
      <w:pPr>
        <w:pStyle w:val="NormalWeb"/>
        <w:numPr>
          <w:ilvl w:val="0"/>
          <w:numId w:val="21"/>
        </w:numPr>
        <w:bidi/>
        <w:spacing w:before="0" w:beforeAutospacing="0" w:after="0" w:afterAutospacing="0"/>
        <w:jc w:val="lowKashida"/>
        <w:rPr>
          <w:rFonts w:ascii="Traditional Arabic" w:hAnsi="Traditional Arabic" w:cs="Traditional Arabic"/>
          <w:sz w:val="32"/>
          <w:szCs w:val="32"/>
        </w:rPr>
      </w:pPr>
      <w:r w:rsidRPr="00554EB9">
        <w:rPr>
          <w:rFonts w:ascii="Traditional Arabic" w:hAnsi="Traditional Arabic" w:cs="Traditional Arabic"/>
          <w:sz w:val="32"/>
          <w:szCs w:val="32"/>
          <w:rtl/>
        </w:rPr>
        <w:lastRenderedPageBreak/>
        <w:t>نقص الكفاءات والمهارات الرقمية</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تحتاج البنوك إلى كوادر بشرية لديها المهارات التقنية والمحاسبية اللازمة لإدارة وتطوير واستخدام نظم المعلومات المحاسبية الرقمية بفعالية. قد يكون هناك نقص في هذه الكفاءات في السوق المحلي</w:t>
      </w:r>
      <w:r w:rsidRPr="00554EB9">
        <w:rPr>
          <w:rFonts w:ascii="Traditional Arabic" w:hAnsi="Traditional Arabic" w:cs="Traditional Arabic"/>
          <w:sz w:val="32"/>
          <w:szCs w:val="32"/>
        </w:rPr>
        <w:t xml:space="preserve"> </w:t>
      </w:r>
      <w:r w:rsidRPr="008C10C9">
        <w:rPr>
          <w:rFonts w:ascii="Garamond" w:hAnsi="Garamond" w:cs="Traditional Arabic"/>
          <w:sz w:val="32"/>
          <w:szCs w:val="32"/>
        </w:rPr>
        <w:t>(</w:t>
      </w:r>
      <w:r w:rsidRPr="008C10C9">
        <w:rPr>
          <w:rFonts w:ascii="Garamond" w:hAnsi="Garamond" w:cstheme="majorBidi"/>
        </w:rPr>
        <w:t>Al-Enezi, 2022</w:t>
      </w:r>
      <w:r w:rsidRPr="008C10C9">
        <w:rPr>
          <w:rFonts w:ascii="Garamond" w:hAnsi="Garamond" w:cs="Traditional Arabic"/>
          <w:sz w:val="32"/>
          <w:szCs w:val="32"/>
        </w:rPr>
        <w:t>)</w:t>
      </w:r>
      <w:r w:rsidRPr="00554EB9">
        <w:rPr>
          <w:rFonts w:ascii="Traditional Arabic" w:hAnsi="Traditional Arabic" w:cs="Traditional Arabic"/>
          <w:sz w:val="32"/>
          <w:szCs w:val="32"/>
        </w:rPr>
        <w:t>.</w:t>
      </w:r>
    </w:p>
    <w:p w14:paraId="5ED4CB73" w14:textId="77777777" w:rsidR="00326DB9" w:rsidRPr="00554EB9" w:rsidRDefault="00326DB9" w:rsidP="00F37118">
      <w:pPr>
        <w:pStyle w:val="NormalWeb"/>
        <w:numPr>
          <w:ilvl w:val="0"/>
          <w:numId w:val="21"/>
        </w:numPr>
        <w:bidi/>
        <w:spacing w:before="0" w:beforeAutospacing="0" w:after="0" w:afterAutospacing="0"/>
        <w:rPr>
          <w:rFonts w:ascii="Traditional Arabic" w:hAnsi="Traditional Arabic" w:cs="Traditional Arabic"/>
          <w:sz w:val="32"/>
          <w:szCs w:val="32"/>
        </w:rPr>
      </w:pPr>
      <w:r w:rsidRPr="00554EB9">
        <w:rPr>
          <w:rFonts w:ascii="Traditional Arabic" w:hAnsi="Traditional Arabic" w:cs="Traditional Arabic"/>
          <w:sz w:val="32"/>
          <w:szCs w:val="32"/>
          <w:rtl/>
        </w:rPr>
        <w:t>الأمن السيبراني وحماية البيانات</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مع زيادة الاعتماد على الأنظمة الرقمية، تزداد مخاطر الهجمات السيبرانية واختراق البيانات. تتطلب حماية المعلومات المالية الحساسة استثمارات مستمرة في حلول الأمن وتدريب الموظفين</w:t>
      </w:r>
      <w:r w:rsidRPr="00554EB9">
        <w:rPr>
          <w:rFonts w:ascii="Traditional Arabic" w:hAnsi="Traditional Arabic" w:cs="Traditional Arabic"/>
          <w:sz w:val="32"/>
          <w:szCs w:val="32"/>
        </w:rPr>
        <w:t xml:space="preserve"> </w:t>
      </w:r>
      <w:r w:rsidRPr="008C10C9">
        <w:rPr>
          <w:rFonts w:ascii="Garamond" w:hAnsi="Garamond" w:cs="Traditional Arabic"/>
          <w:sz w:val="32"/>
          <w:szCs w:val="32"/>
        </w:rPr>
        <w:t>.(</w:t>
      </w:r>
      <w:r w:rsidRPr="008C10C9">
        <w:rPr>
          <w:rFonts w:ascii="Garamond" w:hAnsi="Garamond" w:cstheme="majorBidi"/>
        </w:rPr>
        <w:t>Abdullah &amp; Hassan, 2017</w:t>
      </w:r>
      <w:r w:rsidRPr="008C10C9">
        <w:rPr>
          <w:rFonts w:ascii="Garamond" w:hAnsi="Garamond" w:cs="Traditional Arabic"/>
          <w:sz w:val="32"/>
          <w:szCs w:val="32"/>
        </w:rPr>
        <w:t>)</w:t>
      </w:r>
    </w:p>
    <w:p w14:paraId="248DDCC9" w14:textId="77777777" w:rsidR="00326DB9" w:rsidRPr="00554EB9" w:rsidRDefault="00326DB9" w:rsidP="00D132F3">
      <w:pPr>
        <w:pStyle w:val="NormalWeb"/>
        <w:numPr>
          <w:ilvl w:val="0"/>
          <w:numId w:val="21"/>
        </w:numPr>
        <w:bidi/>
        <w:spacing w:before="0" w:beforeAutospacing="0" w:after="0" w:afterAutospacing="0"/>
        <w:jc w:val="lowKashida"/>
        <w:rPr>
          <w:rFonts w:ascii="Traditional Arabic" w:hAnsi="Traditional Arabic" w:cs="Traditional Arabic"/>
          <w:sz w:val="32"/>
          <w:szCs w:val="32"/>
        </w:rPr>
      </w:pPr>
      <w:r w:rsidRPr="00554EB9">
        <w:rPr>
          <w:rFonts w:ascii="Traditional Arabic" w:hAnsi="Traditional Arabic" w:cs="Traditional Arabic"/>
          <w:sz w:val="32"/>
          <w:szCs w:val="32"/>
          <w:rtl/>
        </w:rPr>
        <w:t>مقاومة التغيير</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قد يواجه التحول الرقمي مقاومة من بعض الموظفين الذين اعتادوا على الطرق التقليدية، مما يتطلب استراتيجيات قوية لإدارة التغيير والتدريب المستمر</w:t>
      </w:r>
      <w:r w:rsidRPr="00554EB9">
        <w:rPr>
          <w:rFonts w:ascii="Traditional Arabic" w:hAnsi="Traditional Arabic" w:cs="Traditional Arabic"/>
          <w:sz w:val="32"/>
          <w:szCs w:val="32"/>
        </w:rPr>
        <w:t xml:space="preserve"> </w:t>
      </w:r>
      <w:r w:rsidRPr="008C10C9">
        <w:rPr>
          <w:rFonts w:ascii="Garamond" w:hAnsi="Garamond" w:cs="Traditional Arabic"/>
          <w:sz w:val="32"/>
          <w:szCs w:val="32"/>
        </w:rPr>
        <w:t>(</w:t>
      </w:r>
      <w:r w:rsidRPr="008C10C9">
        <w:rPr>
          <w:rFonts w:ascii="Garamond" w:hAnsi="Garamond" w:cstheme="majorBidi"/>
        </w:rPr>
        <w:t>Saunders et al., 2019</w:t>
      </w:r>
      <w:r w:rsidRPr="008C10C9">
        <w:rPr>
          <w:rFonts w:ascii="Garamond" w:hAnsi="Garamond" w:cs="Traditional Arabic"/>
          <w:sz w:val="32"/>
          <w:szCs w:val="32"/>
        </w:rPr>
        <w:t>).</w:t>
      </w:r>
    </w:p>
    <w:p w14:paraId="715BD4F9" w14:textId="77777777" w:rsidR="00326DB9" w:rsidRPr="007755C1" w:rsidRDefault="00326DB9" w:rsidP="00D132F3">
      <w:pPr>
        <w:pStyle w:val="NormalWeb"/>
        <w:numPr>
          <w:ilvl w:val="0"/>
          <w:numId w:val="21"/>
        </w:numPr>
        <w:bidi/>
        <w:spacing w:before="0" w:beforeAutospacing="0" w:after="0" w:afterAutospacing="0"/>
        <w:jc w:val="lowKashida"/>
        <w:rPr>
          <w:rFonts w:ascii="Traditional Arabic" w:hAnsi="Traditional Arabic" w:cs="Traditional Arabic"/>
          <w:sz w:val="32"/>
          <w:szCs w:val="32"/>
          <w:rtl/>
        </w:rPr>
      </w:pPr>
      <w:r w:rsidRPr="00554EB9">
        <w:rPr>
          <w:rFonts w:ascii="Traditional Arabic" w:hAnsi="Traditional Arabic" w:cs="Traditional Arabic"/>
          <w:sz w:val="32"/>
          <w:szCs w:val="32"/>
          <w:rtl/>
        </w:rPr>
        <w:t>الامتثال التنظيمي</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يجب على البنوك الإسلامية الكويتية ضمان أن أي تحول رقمي في نظمها المحاسبية يتوافق مع تعليمات بنك الكويت المركزي ومعايير الشريعة الإسلامية، مما قد يضيف طبقة من التعقيد</w:t>
      </w:r>
      <w:r w:rsidRPr="008C10C9">
        <w:rPr>
          <w:rFonts w:ascii="Garamond" w:hAnsi="Garamond" w:cs="Traditional Arabic"/>
          <w:sz w:val="32"/>
          <w:szCs w:val="32"/>
        </w:rPr>
        <w:t xml:space="preserve"> </w:t>
      </w:r>
      <w:r w:rsidRPr="008C10C9">
        <w:rPr>
          <w:rFonts w:ascii="Garamond" w:hAnsi="Garamond" w:cstheme="majorBidi"/>
        </w:rPr>
        <w:t>(Al-Hajri, 2017</w:t>
      </w:r>
      <w:r w:rsidRPr="007755C1">
        <w:rPr>
          <w:rFonts w:asciiTheme="majorBidi" w:hAnsiTheme="majorBidi" w:cstheme="majorBidi"/>
        </w:rPr>
        <w:t>).</w:t>
      </w:r>
    </w:p>
    <w:p w14:paraId="6B063902" w14:textId="77777777" w:rsidR="00326DB9" w:rsidRPr="00EF7D66" w:rsidRDefault="00326DB9" w:rsidP="00D132F3">
      <w:pPr>
        <w:pStyle w:val="NormalWeb"/>
        <w:bidi/>
        <w:spacing w:before="0" w:beforeAutospacing="0" w:after="0" w:afterAutospacing="0"/>
        <w:jc w:val="lowKashida"/>
        <w:rPr>
          <w:rFonts w:ascii="Traditional Arabic" w:hAnsi="Traditional Arabic" w:cs="Traditional Arabic"/>
          <w:sz w:val="32"/>
          <w:szCs w:val="32"/>
        </w:rPr>
      </w:pPr>
      <w:r w:rsidRPr="00EF7D66">
        <w:rPr>
          <w:rFonts w:ascii="Traditional Arabic" w:hAnsi="Traditional Arabic" w:cs="Traditional Arabic"/>
          <w:b/>
          <w:bCs/>
          <w:sz w:val="32"/>
          <w:szCs w:val="32"/>
          <w:rtl/>
        </w:rPr>
        <w:t>التداعيات على الموارد البشرية والضوابط</w:t>
      </w:r>
      <w:r w:rsidRPr="00EF7D66">
        <w:rPr>
          <w:rFonts w:ascii="Traditional Arabic" w:hAnsi="Traditional Arabic" w:cs="Traditional Arabic"/>
          <w:b/>
          <w:bCs/>
          <w:sz w:val="32"/>
          <w:szCs w:val="32"/>
        </w:rPr>
        <w:t>:</w:t>
      </w:r>
    </w:p>
    <w:p w14:paraId="68C5F8EF" w14:textId="77777777" w:rsidR="00326DB9" w:rsidRPr="00554EB9" w:rsidRDefault="00326DB9" w:rsidP="00D132F3">
      <w:pPr>
        <w:pStyle w:val="NormalWeb"/>
        <w:numPr>
          <w:ilvl w:val="0"/>
          <w:numId w:val="22"/>
        </w:numPr>
        <w:bidi/>
        <w:spacing w:before="0" w:beforeAutospacing="0" w:after="0" w:afterAutospacing="0"/>
        <w:jc w:val="lowKashida"/>
        <w:rPr>
          <w:rFonts w:ascii="Traditional Arabic" w:hAnsi="Traditional Arabic" w:cs="Traditional Arabic"/>
          <w:sz w:val="32"/>
          <w:szCs w:val="32"/>
        </w:rPr>
      </w:pPr>
      <w:r w:rsidRPr="00554EB9">
        <w:rPr>
          <w:rFonts w:ascii="Traditional Arabic" w:hAnsi="Traditional Arabic" w:cs="Traditional Arabic"/>
          <w:sz w:val="32"/>
          <w:szCs w:val="32"/>
          <w:rtl/>
        </w:rPr>
        <w:t>تطوير المهارات</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يتطلب التحول الرقمي إعادة تدريب وتأهيل المحاسبين والمحللين الماليين ليصبحوا أكثر كفاءة في استخدام الأدوات الرقمية، وتحليل البيانات الضخمة، وفهم التقنيات الحديثة مثل الذكاء الاصطناعي. هذا التحول يشمل تطوير مهارات تحليلية وتكنولوجية جديدة</w:t>
      </w:r>
      <w:r w:rsidRPr="008C10C9">
        <w:rPr>
          <w:rFonts w:ascii="Garamond" w:hAnsi="Garamond" w:cs="Traditional Arabic"/>
          <w:sz w:val="32"/>
          <w:szCs w:val="32"/>
        </w:rPr>
        <w:t xml:space="preserve"> (</w:t>
      </w:r>
      <w:r w:rsidRPr="008C10C9">
        <w:rPr>
          <w:rFonts w:ascii="Garamond" w:hAnsi="Garamond" w:cs="Traditional Arabic"/>
        </w:rPr>
        <w:t>Khalaf &amp; Al-Mulla, 2020</w:t>
      </w:r>
      <w:r w:rsidRPr="008C10C9">
        <w:rPr>
          <w:rFonts w:ascii="Garamond" w:hAnsi="Garamond" w:cs="Traditional Arabic"/>
          <w:sz w:val="32"/>
          <w:szCs w:val="32"/>
        </w:rPr>
        <w:t>).</w:t>
      </w:r>
    </w:p>
    <w:p w14:paraId="0DEBE8BB" w14:textId="77777777" w:rsidR="00326DB9" w:rsidRPr="00554EB9" w:rsidRDefault="00326DB9" w:rsidP="00D132F3">
      <w:pPr>
        <w:pStyle w:val="NormalWeb"/>
        <w:numPr>
          <w:ilvl w:val="0"/>
          <w:numId w:val="22"/>
        </w:numPr>
        <w:bidi/>
        <w:spacing w:before="0" w:beforeAutospacing="0" w:after="0" w:afterAutospacing="0"/>
        <w:jc w:val="lowKashida"/>
        <w:rPr>
          <w:rFonts w:ascii="Traditional Arabic" w:hAnsi="Traditional Arabic" w:cs="Traditional Arabic"/>
          <w:sz w:val="32"/>
          <w:szCs w:val="32"/>
        </w:rPr>
      </w:pPr>
      <w:r w:rsidRPr="00554EB9">
        <w:rPr>
          <w:rFonts w:ascii="Traditional Arabic" w:hAnsi="Traditional Arabic" w:cs="Traditional Arabic"/>
          <w:sz w:val="32"/>
          <w:szCs w:val="32"/>
          <w:rtl/>
        </w:rPr>
        <w:t>تغير طبيعة العمل المحاسبي</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تتحول المهام الروتينية والمتكررة نحو الأتمتة، مما يحرر المحاسبين للتركيز على أدوار أكثر استراتيجية وقيمة مضافة، مثل التحليل، والاستشارات، والمراجعة الداخلية الفعالة</w:t>
      </w:r>
      <w:r w:rsidRPr="00554EB9">
        <w:rPr>
          <w:rFonts w:ascii="Traditional Arabic" w:hAnsi="Traditional Arabic" w:cs="Traditional Arabic"/>
          <w:sz w:val="32"/>
          <w:szCs w:val="32"/>
        </w:rPr>
        <w:t xml:space="preserve"> </w:t>
      </w:r>
      <w:r w:rsidRPr="008C10C9">
        <w:rPr>
          <w:rFonts w:ascii="Garamond" w:hAnsi="Garamond" w:cs="Traditional Arabic"/>
          <w:sz w:val="32"/>
          <w:szCs w:val="32"/>
        </w:rPr>
        <w:t>(</w:t>
      </w:r>
      <w:r w:rsidRPr="008C10C9">
        <w:rPr>
          <w:rFonts w:ascii="Garamond" w:hAnsi="Garamond" w:cstheme="majorBidi"/>
        </w:rPr>
        <w:t>Chen et al., 2021</w:t>
      </w:r>
      <w:r w:rsidRPr="008C10C9">
        <w:rPr>
          <w:rFonts w:ascii="Garamond" w:hAnsi="Garamond" w:cs="Traditional Arabic"/>
          <w:sz w:val="32"/>
          <w:szCs w:val="32"/>
        </w:rPr>
        <w:t>).</w:t>
      </w:r>
    </w:p>
    <w:p w14:paraId="2E4C03BC" w14:textId="77777777" w:rsidR="00326DB9" w:rsidRPr="00554EB9" w:rsidRDefault="00326DB9" w:rsidP="00D132F3">
      <w:pPr>
        <w:pStyle w:val="NormalWeb"/>
        <w:numPr>
          <w:ilvl w:val="0"/>
          <w:numId w:val="22"/>
        </w:numPr>
        <w:bidi/>
        <w:spacing w:before="0" w:beforeAutospacing="0" w:after="0" w:afterAutospacing="0"/>
        <w:jc w:val="lowKashida"/>
        <w:rPr>
          <w:rFonts w:ascii="Traditional Arabic" w:hAnsi="Traditional Arabic" w:cs="Traditional Arabic"/>
          <w:sz w:val="32"/>
          <w:szCs w:val="32"/>
        </w:rPr>
      </w:pPr>
      <w:r w:rsidRPr="00554EB9">
        <w:rPr>
          <w:rFonts w:ascii="Traditional Arabic" w:hAnsi="Traditional Arabic" w:cs="Traditional Arabic"/>
          <w:sz w:val="32"/>
          <w:szCs w:val="32"/>
          <w:rtl/>
        </w:rPr>
        <w:t>تكييف الضوابط الداخلية</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يجب إعادة تقييم وتكييف الضوابط الداخلية لتتناسب مع البيئة الرقمية الجديدة. هذا يشمل تصميم ضوابط آلية فعالة، وتعزيز الأمن السيبراني، وضوابط الوصول إلى البيانات</w:t>
      </w:r>
      <w:r w:rsidRPr="00554EB9">
        <w:rPr>
          <w:rFonts w:ascii="Traditional Arabic" w:hAnsi="Traditional Arabic" w:cs="Traditional Arabic"/>
          <w:sz w:val="32"/>
          <w:szCs w:val="32"/>
        </w:rPr>
        <w:t>)</w:t>
      </w:r>
      <w:r w:rsidRPr="00554EB9">
        <w:rPr>
          <w:rFonts w:ascii="Traditional Arabic" w:hAnsi="Traditional Arabic" w:cs="Traditional Arabic"/>
          <w:sz w:val="32"/>
          <w:szCs w:val="32"/>
          <w:rtl/>
        </w:rPr>
        <w:t>، لضمان سلامة وموثوقية المعلومات المحاسبية</w:t>
      </w:r>
      <w:r w:rsidRPr="00554EB9">
        <w:rPr>
          <w:rFonts w:ascii="Traditional Arabic" w:hAnsi="Traditional Arabic" w:cs="Traditional Arabic"/>
          <w:sz w:val="32"/>
          <w:szCs w:val="32"/>
        </w:rPr>
        <w:t xml:space="preserve"> (</w:t>
      </w:r>
      <w:r w:rsidRPr="00407D7B">
        <w:rPr>
          <w:rFonts w:ascii="Garamond" w:hAnsi="Garamond" w:cstheme="majorBidi"/>
        </w:rPr>
        <w:t>IFSB Standards, 2018</w:t>
      </w:r>
      <w:r w:rsidRPr="00554EB9">
        <w:rPr>
          <w:rFonts w:ascii="Traditional Arabic" w:hAnsi="Traditional Arabic" w:cs="Traditional Arabic"/>
          <w:sz w:val="32"/>
          <w:szCs w:val="32"/>
        </w:rPr>
        <w:t>).</w:t>
      </w:r>
    </w:p>
    <w:p w14:paraId="353806CF" w14:textId="77777777" w:rsidR="00326DB9" w:rsidRPr="00EF7D66" w:rsidRDefault="00326DB9" w:rsidP="00D132F3">
      <w:pPr>
        <w:pStyle w:val="NormalWeb"/>
        <w:bidi/>
        <w:spacing w:before="0" w:beforeAutospacing="0" w:after="0" w:afterAutospacing="0"/>
        <w:jc w:val="lowKashida"/>
        <w:rPr>
          <w:rFonts w:ascii="Traditional Arabic" w:hAnsi="Traditional Arabic" w:cs="Traditional Arabic"/>
          <w:sz w:val="32"/>
          <w:szCs w:val="32"/>
        </w:rPr>
      </w:pPr>
      <w:r>
        <w:rPr>
          <w:rFonts w:ascii="Traditional Arabic" w:hAnsi="Traditional Arabic" w:cs="Traditional Arabic" w:hint="cs"/>
          <w:b/>
          <w:bCs/>
          <w:sz w:val="32"/>
          <w:szCs w:val="32"/>
          <w:rtl/>
        </w:rPr>
        <w:t>-</w:t>
      </w:r>
      <w:r w:rsidRPr="00EF7D66">
        <w:rPr>
          <w:rFonts w:ascii="Traditional Arabic" w:hAnsi="Traditional Arabic" w:cs="Traditional Arabic"/>
          <w:b/>
          <w:bCs/>
          <w:sz w:val="32"/>
          <w:szCs w:val="32"/>
        </w:rPr>
        <w:t xml:space="preserve"> </w:t>
      </w:r>
      <w:r w:rsidRPr="00EF7D66">
        <w:rPr>
          <w:rFonts w:ascii="Traditional Arabic" w:hAnsi="Traditional Arabic" w:cs="Traditional Arabic"/>
          <w:b/>
          <w:bCs/>
          <w:sz w:val="32"/>
          <w:szCs w:val="32"/>
          <w:rtl/>
        </w:rPr>
        <w:t>التحديات المعقدة والاعتبارات الاستراتيجية</w:t>
      </w:r>
      <w:r w:rsidRPr="00EF7D66">
        <w:rPr>
          <w:rFonts w:ascii="Traditional Arabic" w:hAnsi="Traditional Arabic" w:cs="Traditional Arabic"/>
          <w:b/>
          <w:bCs/>
          <w:sz w:val="32"/>
          <w:szCs w:val="32"/>
        </w:rPr>
        <w:t>:</w:t>
      </w:r>
    </w:p>
    <w:p w14:paraId="4169FFED" w14:textId="77777777" w:rsidR="00326DB9" w:rsidRPr="00554EB9" w:rsidRDefault="00326DB9" w:rsidP="00D132F3">
      <w:pPr>
        <w:pStyle w:val="NormalWeb"/>
        <w:numPr>
          <w:ilvl w:val="0"/>
          <w:numId w:val="23"/>
        </w:numPr>
        <w:bidi/>
        <w:spacing w:before="0" w:beforeAutospacing="0" w:after="0" w:afterAutospacing="0"/>
        <w:jc w:val="lowKashida"/>
        <w:rPr>
          <w:rFonts w:ascii="Traditional Arabic" w:hAnsi="Traditional Arabic" w:cs="Traditional Arabic"/>
          <w:sz w:val="32"/>
          <w:szCs w:val="32"/>
        </w:rPr>
      </w:pPr>
      <w:r w:rsidRPr="00554EB9">
        <w:rPr>
          <w:rFonts w:ascii="Traditional Arabic" w:hAnsi="Traditional Arabic" w:cs="Traditional Arabic"/>
          <w:sz w:val="32"/>
          <w:szCs w:val="32"/>
          <w:rtl/>
        </w:rPr>
        <w:t>إدارة التغيير الثقافي والمؤسسي</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يتطلب التحول الرقمي الناجح لنظم المعلومات المحاسبية تحولاً ثقافيًا أعمق داخل البنك، حيث يجب على الموظفين تبني عقلية رقمية جديدة والتعاون بين الأقسام المختلفة</w:t>
      </w:r>
      <w:r w:rsidRPr="00554EB9">
        <w:rPr>
          <w:rFonts w:ascii="Traditional Arabic" w:hAnsi="Traditional Arabic" w:cs="Traditional Arabic"/>
          <w:sz w:val="32"/>
          <w:szCs w:val="32"/>
        </w:rPr>
        <w:t xml:space="preserve"> </w:t>
      </w:r>
      <w:r w:rsidRPr="00407D7B">
        <w:rPr>
          <w:rFonts w:ascii="Garamond" w:hAnsi="Garamond" w:cs="Traditional Arabic"/>
        </w:rPr>
        <w:t>(Al-Zahrani</w:t>
      </w:r>
      <w:r w:rsidRPr="00554EB9">
        <w:rPr>
          <w:rFonts w:ascii="Traditional Arabic" w:hAnsi="Traditional Arabic" w:cs="Traditional Arabic"/>
          <w:sz w:val="32"/>
          <w:szCs w:val="32"/>
        </w:rPr>
        <w:t xml:space="preserve">, </w:t>
      </w:r>
      <w:r w:rsidRPr="00C138FE">
        <w:rPr>
          <w:rFonts w:ascii="Garamond" w:hAnsi="Garamond" w:cs="Traditional Arabic"/>
        </w:rPr>
        <w:t>2021</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مقاومة التغيير هي عقبة رئيسية يجب معالجتها من خلال التدريب والتواصل الفعال</w:t>
      </w:r>
      <w:r w:rsidRPr="00554EB9">
        <w:rPr>
          <w:rFonts w:ascii="Traditional Arabic" w:hAnsi="Traditional Arabic" w:cs="Traditional Arabic"/>
          <w:sz w:val="32"/>
          <w:szCs w:val="32"/>
        </w:rPr>
        <w:t>.</w:t>
      </w:r>
    </w:p>
    <w:p w14:paraId="1A8C00F0" w14:textId="77777777" w:rsidR="00326DB9" w:rsidRPr="00554EB9" w:rsidRDefault="00326DB9" w:rsidP="00D132F3">
      <w:pPr>
        <w:pStyle w:val="NormalWeb"/>
        <w:numPr>
          <w:ilvl w:val="0"/>
          <w:numId w:val="23"/>
        </w:numPr>
        <w:bidi/>
        <w:spacing w:before="0" w:beforeAutospacing="0" w:after="0" w:afterAutospacing="0"/>
        <w:jc w:val="lowKashida"/>
        <w:rPr>
          <w:rFonts w:ascii="Traditional Arabic" w:hAnsi="Traditional Arabic" w:cs="Traditional Arabic"/>
          <w:sz w:val="32"/>
          <w:szCs w:val="32"/>
        </w:rPr>
      </w:pPr>
      <w:r w:rsidRPr="00554EB9">
        <w:rPr>
          <w:rFonts w:ascii="Traditional Arabic" w:hAnsi="Traditional Arabic" w:cs="Traditional Arabic"/>
          <w:sz w:val="32"/>
          <w:szCs w:val="32"/>
          <w:rtl/>
        </w:rPr>
        <w:t>أمن البيانات والخصوصية</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مع زيادة كمية البيانات الحساسة المخزنة والمعالجة رقميًا، يصبح أمن البيانات وخصوصيتها تحديًا أكبر</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يجب على البنوك الاستثمار في أحدث حلول الأمن السيبراني والامتثال للوائح حماية البيانات المحلية والدولية</w:t>
      </w:r>
      <w:r w:rsidRPr="00407D7B">
        <w:rPr>
          <w:rFonts w:ascii="Garamond" w:hAnsi="Garamond" w:cs="Traditional Arabic"/>
        </w:rPr>
        <w:t xml:space="preserve"> (KPMG, 2022</w:t>
      </w:r>
      <w:r w:rsidRPr="00554EB9">
        <w:rPr>
          <w:rFonts w:ascii="Traditional Arabic" w:hAnsi="Traditional Arabic" w:cs="Traditional Arabic"/>
          <w:sz w:val="32"/>
          <w:szCs w:val="32"/>
        </w:rPr>
        <w:t>).</w:t>
      </w:r>
    </w:p>
    <w:p w14:paraId="080CC8DD" w14:textId="77777777" w:rsidR="00326DB9" w:rsidRPr="00554EB9" w:rsidRDefault="00326DB9" w:rsidP="00D132F3">
      <w:pPr>
        <w:pStyle w:val="NormalWeb"/>
        <w:numPr>
          <w:ilvl w:val="0"/>
          <w:numId w:val="23"/>
        </w:numPr>
        <w:bidi/>
        <w:spacing w:before="0" w:beforeAutospacing="0" w:after="0" w:afterAutospacing="0"/>
        <w:jc w:val="lowKashida"/>
        <w:rPr>
          <w:rFonts w:ascii="Traditional Arabic" w:hAnsi="Traditional Arabic" w:cs="Traditional Arabic"/>
          <w:sz w:val="32"/>
          <w:szCs w:val="32"/>
        </w:rPr>
      </w:pPr>
      <w:r w:rsidRPr="00554EB9">
        <w:rPr>
          <w:rFonts w:ascii="Traditional Arabic" w:hAnsi="Traditional Arabic" w:cs="Traditional Arabic"/>
          <w:sz w:val="32"/>
          <w:szCs w:val="32"/>
          <w:rtl/>
        </w:rPr>
        <w:lastRenderedPageBreak/>
        <w:t>الامتثال التنظيمي المتزايد</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مع ظهور تقنيات جديدة، تظهر أيضًا الحاجة إلى تحديث الأطر التنظيمية</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يجب على البنوك الإسلامية الكويتية أن تواكب التطورات في متطلبات بنك الكويت المركزي والجهات الرقابية الأخرى لضمان أن نظم معلوماتها المحاسبية الرقمية تلبي هذه المعايير المتغيرة</w:t>
      </w:r>
      <w:r w:rsidRPr="00554EB9">
        <w:rPr>
          <w:rFonts w:ascii="Traditional Arabic" w:hAnsi="Traditional Arabic" w:cs="Traditional Arabic"/>
          <w:sz w:val="32"/>
          <w:szCs w:val="32"/>
        </w:rPr>
        <w:t xml:space="preserve"> </w:t>
      </w:r>
      <w:r w:rsidRPr="00407D7B">
        <w:rPr>
          <w:rFonts w:ascii="Garamond" w:hAnsi="Garamond" w:cs="Traditional Arabic"/>
        </w:rPr>
        <w:t>(</w:t>
      </w:r>
      <w:r w:rsidRPr="00407D7B">
        <w:rPr>
          <w:rFonts w:ascii="Garamond" w:hAnsi="Garamond" w:cstheme="majorBidi"/>
        </w:rPr>
        <w:t>Central Bank of Kuwait, 2021</w:t>
      </w:r>
      <w:r w:rsidRPr="00407D7B">
        <w:rPr>
          <w:rFonts w:ascii="Garamond" w:hAnsi="Garamond" w:cs="Traditional Arabic"/>
        </w:rPr>
        <w:t>)</w:t>
      </w:r>
      <w:r w:rsidRPr="00554EB9">
        <w:rPr>
          <w:rFonts w:ascii="Traditional Arabic" w:hAnsi="Traditional Arabic" w:cs="Traditional Arabic"/>
          <w:sz w:val="32"/>
          <w:szCs w:val="32"/>
        </w:rPr>
        <w:t>.</w:t>
      </w:r>
    </w:p>
    <w:p w14:paraId="6D82794F" w14:textId="77777777" w:rsidR="00326DB9" w:rsidRPr="00554EB9" w:rsidRDefault="00326DB9" w:rsidP="00D132F3">
      <w:pPr>
        <w:pStyle w:val="NormalWeb"/>
        <w:numPr>
          <w:ilvl w:val="0"/>
          <w:numId w:val="23"/>
        </w:numPr>
        <w:bidi/>
        <w:spacing w:before="0" w:beforeAutospacing="0" w:after="0" w:afterAutospacing="0"/>
        <w:jc w:val="lowKashida"/>
        <w:rPr>
          <w:rFonts w:ascii="Traditional Arabic" w:hAnsi="Traditional Arabic" w:cs="Traditional Arabic"/>
          <w:sz w:val="32"/>
          <w:szCs w:val="32"/>
        </w:rPr>
      </w:pPr>
      <w:r w:rsidRPr="00554EB9">
        <w:rPr>
          <w:rFonts w:ascii="Traditional Arabic" w:hAnsi="Traditional Arabic" w:cs="Traditional Arabic"/>
          <w:sz w:val="32"/>
          <w:szCs w:val="32"/>
          <w:rtl/>
        </w:rPr>
        <w:t>التعقيد التكنولوجي والتكامل</w:t>
      </w:r>
      <w:r w:rsidRPr="00554EB9">
        <w:rPr>
          <w:rFonts w:ascii="Traditional Arabic" w:hAnsi="Traditional Arabic" w:cs="Traditional Arabic"/>
          <w:sz w:val="32"/>
          <w:szCs w:val="32"/>
        </w:rPr>
        <w:t xml:space="preserve">: </w:t>
      </w:r>
      <w:r w:rsidRPr="00554EB9">
        <w:rPr>
          <w:rFonts w:ascii="Traditional Arabic" w:hAnsi="Traditional Arabic" w:cs="Traditional Arabic"/>
          <w:sz w:val="32"/>
          <w:szCs w:val="32"/>
          <w:rtl/>
        </w:rPr>
        <w:t>دمج التقنيات المتنوعة مثل الذكاء الاصطناعي، البلوك تشين، والحوسبة السحابية مع أنظمة المحاسبة الحالية يمثل تحديًا تقنيًا كبيرًا يتطلب خبرات متخصصة واستثمارات في التكامل الفعال</w:t>
      </w:r>
      <w:r w:rsidRPr="00407D7B">
        <w:rPr>
          <w:rFonts w:ascii="Garamond" w:hAnsi="Garamond" w:cs="Traditional Arabic"/>
        </w:rPr>
        <w:t xml:space="preserve"> (</w:t>
      </w:r>
      <w:r w:rsidRPr="00407D7B">
        <w:rPr>
          <w:rFonts w:ascii="Garamond" w:hAnsi="Garamond" w:cstheme="majorBidi"/>
        </w:rPr>
        <w:t>Al</w:t>
      </w:r>
      <w:r w:rsidRPr="0061278E">
        <w:rPr>
          <w:rFonts w:asciiTheme="majorBidi" w:hAnsiTheme="majorBidi" w:cstheme="majorBidi"/>
        </w:rPr>
        <w:t>-</w:t>
      </w:r>
      <w:r w:rsidRPr="00407D7B">
        <w:rPr>
          <w:rFonts w:ascii="Garamond" w:hAnsi="Garamond" w:cstheme="majorBidi"/>
        </w:rPr>
        <w:t>Enezi, 2022).</w:t>
      </w:r>
    </w:p>
    <w:p w14:paraId="4174C04A" w14:textId="0F6DCBEB" w:rsidR="00326DB9" w:rsidRDefault="00326DB9" w:rsidP="00D132F3">
      <w:pPr>
        <w:pStyle w:val="NormalWeb"/>
        <w:bidi/>
        <w:spacing w:before="0" w:beforeAutospacing="0" w:after="0" w:afterAutospacing="0"/>
        <w:jc w:val="lowKashida"/>
        <w:rPr>
          <w:rFonts w:ascii="Traditional Arabic" w:hAnsi="Traditional Arabic" w:cs="Traditional Arabic"/>
          <w:sz w:val="32"/>
          <w:szCs w:val="32"/>
        </w:rPr>
      </w:pPr>
      <w:r>
        <w:rPr>
          <w:rFonts w:ascii="Traditional Arabic" w:hAnsi="Traditional Arabic" w:cs="Traditional Arabic" w:hint="cs"/>
          <w:b/>
          <w:bCs/>
          <w:sz w:val="32"/>
          <w:szCs w:val="32"/>
          <w:rtl/>
        </w:rPr>
        <w:t>الخلاصة:</w:t>
      </w:r>
      <w:r>
        <w:rPr>
          <w:rFonts w:ascii="Traditional Arabic" w:hAnsi="Traditional Arabic" w:cs="Traditional Arabic" w:hint="cs"/>
          <w:sz w:val="32"/>
          <w:szCs w:val="32"/>
          <w:rtl/>
        </w:rPr>
        <w:t xml:space="preserve"> </w:t>
      </w:r>
      <w:r w:rsidRPr="00EF7D66">
        <w:rPr>
          <w:rFonts w:ascii="Traditional Arabic" w:hAnsi="Traditional Arabic" w:cs="Traditional Arabic"/>
          <w:sz w:val="32"/>
          <w:szCs w:val="32"/>
          <w:rtl/>
        </w:rPr>
        <w:t>إن واقع التحول الرقمي لنظم المعلومات المحاسبية في البنوك الإسلامية الكويتية هو مشهد ديناميكي يتطلب رؤية استراتيجية واضحة، استثمارات مستمرة، وتكيفًا ثقافيًا وتنظيميًا. فالبنوك تسعى جاهدة للاستفادة من المزايا التي تقدمها التكنولوجيا الحديثة لتعزيز كفاءتها التشغيلية، وتحسين جودة المعلومات، وتدعيم قدرتها على إدارة المخاطر الائتمانية بفاعلية أكبر، مع الالتزام الصارم بالإطار الشرعي والتنظيمي</w:t>
      </w:r>
      <w:r w:rsidRPr="00EF7D66">
        <w:rPr>
          <w:rFonts w:ascii="Traditional Arabic" w:hAnsi="Traditional Arabic" w:cs="Traditional Arabic"/>
          <w:sz w:val="32"/>
          <w:szCs w:val="32"/>
        </w:rPr>
        <w:t>.</w:t>
      </w:r>
    </w:p>
    <w:p w14:paraId="0234AF78" w14:textId="77777777" w:rsidR="00B01315" w:rsidRDefault="00B01315" w:rsidP="00B01315">
      <w:pPr>
        <w:pStyle w:val="NormalWeb"/>
        <w:bidi/>
        <w:spacing w:before="0" w:beforeAutospacing="0" w:after="0" w:afterAutospacing="0"/>
        <w:jc w:val="lowKashida"/>
        <w:rPr>
          <w:rFonts w:ascii="Traditional Arabic" w:hAnsi="Traditional Arabic" w:cs="Traditional Arabic"/>
          <w:sz w:val="32"/>
          <w:szCs w:val="32"/>
        </w:rPr>
      </w:pPr>
    </w:p>
    <w:p w14:paraId="3701A2A3" w14:textId="77777777" w:rsidR="00326DB9" w:rsidRPr="0052003D" w:rsidRDefault="00326DB9" w:rsidP="00D132F3">
      <w:pPr>
        <w:bidi/>
        <w:spacing w:after="0" w:line="240" w:lineRule="auto"/>
        <w:jc w:val="lowKashida"/>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المبحث الثالث: </w:t>
      </w:r>
      <w:r w:rsidRPr="0052003D">
        <w:rPr>
          <w:rFonts w:ascii="Traditional Arabic" w:eastAsia="Times New Roman" w:hAnsi="Traditional Arabic" w:cs="Traditional Arabic" w:hint="cs"/>
          <w:b/>
          <w:bCs/>
          <w:kern w:val="0"/>
          <w:sz w:val="32"/>
          <w:szCs w:val="32"/>
          <w:rtl/>
          <w14:ligatures w14:val="none"/>
        </w:rPr>
        <w:t>اسهام</w:t>
      </w:r>
      <w:r w:rsidRPr="00BC081E">
        <w:rPr>
          <w:rFonts w:ascii="Traditional Arabic" w:eastAsia="Times New Roman" w:hAnsi="Traditional Arabic" w:cs="Traditional Arabic"/>
          <w:b/>
          <w:bCs/>
          <w:kern w:val="0"/>
          <w:sz w:val="32"/>
          <w:szCs w:val="32"/>
          <w:rtl/>
          <w14:ligatures w14:val="none"/>
        </w:rPr>
        <w:t xml:space="preserve"> نظم المعلومات المحاسبية الإلكترونية، في سياق التحول الرقمي</w:t>
      </w:r>
      <w:r w:rsidRPr="0052003D">
        <w:rPr>
          <w:rFonts w:ascii="Traditional Arabic" w:eastAsia="Times New Roman" w:hAnsi="Traditional Arabic" w:cs="Traditional Arabic" w:hint="cs"/>
          <w:b/>
          <w:bCs/>
          <w:kern w:val="0"/>
          <w:sz w:val="32"/>
          <w:szCs w:val="32"/>
          <w:rtl/>
          <w14:ligatures w14:val="none"/>
        </w:rPr>
        <w:t xml:space="preserve"> ل</w:t>
      </w:r>
      <w:r w:rsidRPr="00BC081E">
        <w:rPr>
          <w:rFonts w:ascii="Traditional Arabic" w:eastAsia="Times New Roman" w:hAnsi="Traditional Arabic" w:cs="Traditional Arabic"/>
          <w:b/>
          <w:bCs/>
          <w:kern w:val="0"/>
          <w:sz w:val="32"/>
          <w:szCs w:val="32"/>
          <w:rtl/>
          <w14:ligatures w14:val="none"/>
        </w:rPr>
        <w:t>تعزيز كفاءة ودقة قياس وإدارة المخاطر الائتمانية، وأثر ذلك على عملية اتخاذ القرارات الائتمانية في البنوك الإسلامية الكويتية</w:t>
      </w:r>
      <w:r>
        <w:rPr>
          <w:rFonts w:ascii="Traditional Arabic" w:eastAsia="Times New Roman" w:hAnsi="Traditional Arabic" w:cs="Traditional Arabic" w:hint="cs"/>
          <w:kern w:val="0"/>
          <w:sz w:val="32"/>
          <w:szCs w:val="32"/>
          <w:rtl/>
          <w14:ligatures w14:val="none"/>
        </w:rPr>
        <w:t>.</w:t>
      </w:r>
    </w:p>
    <w:p w14:paraId="54C91331" w14:textId="77777777" w:rsidR="00326DB9" w:rsidRPr="0052003D"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52003D">
        <w:rPr>
          <w:rFonts w:ascii="Traditional Arabic" w:eastAsia="Times New Roman" w:hAnsi="Traditional Arabic" w:cs="Traditional Arabic"/>
          <w:kern w:val="0"/>
          <w:sz w:val="32"/>
          <w:szCs w:val="32"/>
          <w:rtl/>
          <w14:ligatures w14:val="none"/>
        </w:rPr>
        <w:t>تعتبر نظم المعلومات المحاسبية الإلكترونية</w:t>
      </w:r>
      <w:r w:rsidRPr="0052003D">
        <w:rPr>
          <w:rFonts w:ascii="Traditional Arabic" w:eastAsia="Times New Roman" w:hAnsi="Traditional Arabic" w:cs="Traditional Arabic"/>
          <w:kern w:val="0"/>
          <w:sz w:val="32"/>
          <w:szCs w:val="32"/>
          <w14:ligatures w14:val="none"/>
        </w:rPr>
        <w:t xml:space="preserve"> </w:t>
      </w:r>
      <w:r w:rsidRPr="0052003D">
        <w:rPr>
          <w:rFonts w:ascii="Traditional Arabic" w:eastAsia="Times New Roman" w:hAnsi="Traditional Arabic" w:cs="Traditional Arabic"/>
          <w:kern w:val="0"/>
          <w:sz w:val="32"/>
          <w:szCs w:val="32"/>
          <w:rtl/>
          <w14:ligatures w14:val="none"/>
        </w:rPr>
        <w:t>حجر الزاوية في التحول الرقمي للبنوك الإسلامية الكويتية، خاصة في مجال إدارة المخاطر الائتمانية</w:t>
      </w:r>
      <w:r>
        <w:rPr>
          <w:rFonts w:ascii="Traditional Arabic" w:eastAsia="Times New Roman" w:hAnsi="Traditional Arabic" w:cs="Traditional Arabic" w:hint="cs"/>
          <w:kern w:val="0"/>
          <w:sz w:val="32"/>
          <w:szCs w:val="32"/>
          <w:rtl/>
          <w14:ligatures w14:val="none"/>
        </w:rPr>
        <w:t xml:space="preserve"> كما سنوضحه كالآتي:</w:t>
      </w:r>
    </w:p>
    <w:p w14:paraId="40F21FAF" w14:textId="77777777" w:rsidR="00326DB9" w:rsidRPr="0005091E" w:rsidRDefault="00326DB9" w:rsidP="00D132F3">
      <w:pPr>
        <w:bidi/>
        <w:spacing w:after="0" w:line="240" w:lineRule="auto"/>
        <w:jc w:val="lowKashida"/>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أولا: </w:t>
      </w:r>
      <w:r w:rsidRPr="00E66CD4">
        <w:rPr>
          <w:rFonts w:ascii="Traditional Arabic" w:hAnsi="Traditional Arabic" w:cs="Traditional Arabic"/>
          <w:b/>
          <w:bCs/>
          <w:sz w:val="32"/>
          <w:szCs w:val="32"/>
          <w:rtl/>
        </w:rPr>
        <w:t>المفاهيم الأساسية</w:t>
      </w:r>
      <w:r>
        <w:rPr>
          <w:rFonts w:ascii="Traditional Arabic" w:hAnsi="Traditional Arabic" w:cs="Traditional Arabic" w:hint="cs"/>
          <w:b/>
          <w:bCs/>
          <w:sz w:val="32"/>
          <w:szCs w:val="32"/>
          <w:rtl/>
        </w:rPr>
        <w:t xml:space="preserve">: </w:t>
      </w:r>
    </w:p>
    <w:p w14:paraId="23B65118" w14:textId="77777777" w:rsidR="00326DB9" w:rsidRPr="00132B8D" w:rsidRDefault="00326DB9" w:rsidP="00D132F3">
      <w:pPr>
        <w:bidi/>
        <w:spacing w:after="0" w:line="240" w:lineRule="auto"/>
        <w:jc w:val="lowKashida"/>
        <w:rPr>
          <w:rFonts w:ascii="Traditional Arabic" w:hAnsi="Traditional Arabic" w:cs="Traditional Arabic"/>
          <w:sz w:val="32"/>
          <w:szCs w:val="32"/>
          <w:rtl/>
        </w:rPr>
      </w:pPr>
      <w:r>
        <w:rPr>
          <w:rFonts w:ascii="Traditional Arabic" w:hAnsi="Traditional Arabic" w:cs="Traditional Arabic" w:hint="cs"/>
          <w:sz w:val="32"/>
          <w:szCs w:val="32"/>
          <w:rtl/>
        </w:rPr>
        <w:t>-</w:t>
      </w:r>
      <w:r w:rsidRPr="0005091E">
        <w:rPr>
          <w:rFonts w:ascii="Traditional Arabic" w:hAnsi="Traditional Arabic" w:cs="Traditional Arabic"/>
          <w:sz w:val="32"/>
          <w:szCs w:val="32"/>
        </w:rPr>
        <w:t xml:space="preserve"> </w:t>
      </w:r>
      <w:r w:rsidRPr="0005091E">
        <w:rPr>
          <w:rFonts w:ascii="Traditional Arabic" w:hAnsi="Traditional Arabic" w:cs="Traditional Arabic"/>
          <w:sz w:val="32"/>
          <w:szCs w:val="32"/>
          <w:rtl/>
        </w:rPr>
        <w:t>نظم المعلومات المحاسبية الإلكترونية</w:t>
      </w:r>
      <w:r w:rsidRPr="0005091E">
        <w:rPr>
          <w:rFonts w:ascii="Traditional Arabic" w:hAnsi="Traditional Arabic" w:cs="Traditional Arabic"/>
          <w:sz w:val="32"/>
          <w:szCs w:val="32"/>
        </w:rPr>
        <w:t xml:space="preserve"> </w:t>
      </w:r>
      <w:r w:rsidRPr="00407D7B">
        <w:rPr>
          <w:rFonts w:ascii="Garamond" w:hAnsi="Garamond" w:cs="Traditional Arabic"/>
        </w:rPr>
        <w:t>(e-AIS</w:t>
      </w:r>
      <w:r w:rsidRPr="0005091E">
        <w:rPr>
          <w:rFonts w:ascii="Traditional Arabic" w:hAnsi="Traditional Arabic" w:cs="Traditional Arabic"/>
          <w:sz w:val="32"/>
          <w:szCs w:val="32"/>
        </w:rPr>
        <w:t>)</w:t>
      </w:r>
      <w:r w:rsidRPr="0005091E">
        <w:rPr>
          <w:rFonts w:ascii="Traditional Arabic" w:hAnsi="Traditional Arabic" w:cs="Traditional Arabic" w:hint="cs"/>
          <w:sz w:val="32"/>
          <w:szCs w:val="32"/>
          <w:rtl/>
        </w:rPr>
        <w:t>،</w:t>
      </w:r>
      <w:r w:rsidRPr="0005091E">
        <w:rPr>
          <w:rFonts w:ascii="Traditional Arabic" w:hAnsi="Traditional Arabic" w:cs="Traditional Arabic"/>
          <w:sz w:val="32"/>
          <w:szCs w:val="32"/>
          <w:rtl/>
        </w:rPr>
        <w:t xml:space="preserve"> هي أنظمة تقنية متطورة تقوم بجمع، معالجة، وتحليل البيانات المالية والمحاسبية. في البنوك، تعمل هذه النظم كعقل رقمي يحلل كل التفاصيل المالية للعميل، بما في ذلك تاريخ معاملاته، سلوكياته المالية، وتقاريره الائتمانية، بهدف بناء صورة مالية شاملة </w:t>
      </w:r>
      <w:bookmarkStart w:id="8" w:name="_Hlk210079942"/>
      <w:r w:rsidRPr="0005091E">
        <w:rPr>
          <w:rFonts w:ascii="Traditional Arabic" w:hAnsi="Traditional Arabic" w:cs="Traditional Arabic" w:hint="cs"/>
          <w:sz w:val="32"/>
          <w:szCs w:val="32"/>
          <w:rtl/>
        </w:rPr>
        <w:t>ودقيق</w:t>
      </w:r>
      <w:r w:rsidRPr="00527E9E">
        <w:rPr>
          <w:rFonts w:ascii="Traditional Arabic" w:hAnsi="Traditional Arabic" w:cs="Traditional Arabic"/>
          <w:sz w:val="32"/>
          <w:szCs w:val="32"/>
        </w:rPr>
        <w:t xml:space="preserve"> </w:t>
      </w:r>
      <w:r>
        <w:rPr>
          <w:rFonts w:ascii="Traditional Arabic" w:hAnsi="Traditional Arabic" w:cs="Traditional Arabic" w:hint="cs"/>
          <w:sz w:val="32"/>
          <w:szCs w:val="32"/>
          <w:rtl/>
        </w:rPr>
        <w:t>(</w:t>
      </w:r>
      <w:r w:rsidRPr="00407D7B">
        <w:rPr>
          <w:rFonts w:ascii="Garamond" w:hAnsi="Garamond" w:cs="Traditional Arabic"/>
        </w:rPr>
        <w:t>KPMG, 2019</w:t>
      </w:r>
      <w:r w:rsidRPr="00407D7B">
        <w:rPr>
          <w:rFonts w:ascii="Garamond" w:hAnsi="Garamond" w:cs="Traditional Arabic"/>
          <w:rtl/>
        </w:rPr>
        <w:t>)</w:t>
      </w:r>
      <w:r>
        <w:rPr>
          <w:rFonts w:ascii="Traditional Arabic" w:hAnsi="Traditional Arabic" w:cs="Traditional Arabic" w:hint="cs"/>
          <w:sz w:val="32"/>
          <w:szCs w:val="32"/>
          <w:rtl/>
        </w:rPr>
        <w:t>.</w:t>
      </w:r>
    </w:p>
    <w:bookmarkEnd w:id="8"/>
    <w:p w14:paraId="2451DB5D" w14:textId="77777777" w:rsidR="00326DB9"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Pr>
          <w:rFonts w:hint="cs"/>
          <w:rtl/>
        </w:rPr>
        <w:t>2-</w:t>
      </w:r>
      <w:r w:rsidRPr="0052003D">
        <w:t xml:space="preserve"> </w:t>
      </w:r>
      <w:r w:rsidRPr="0005091E">
        <w:rPr>
          <w:b/>
          <w:bCs/>
          <w:rtl/>
        </w:rPr>
        <w:t>التحول الرقمي</w:t>
      </w:r>
      <w:r>
        <w:rPr>
          <w:rFonts w:hint="cs"/>
          <w:rtl/>
        </w:rPr>
        <w:t xml:space="preserve">: </w:t>
      </w:r>
      <w:r w:rsidRPr="0052003D">
        <w:rPr>
          <w:rFonts w:ascii="Traditional Arabic" w:eastAsia="Times New Roman" w:hAnsi="Traditional Arabic" w:cs="Traditional Arabic"/>
          <w:kern w:val="0"/>
          <w:sz w:val="32"/>
          <w:szCs w:val="32"/>
          <w:rtl/>
          <w14:ligatures w14:val="none"/>
        </w:rPr>
        <w:t>هو استراتيجية شاملة تتبناها البنوك لدمج التكنولوجيا في جميع جوانب العمل. يشمل ذلك أتمتة المهام الروتينية، وتقديم خدمات مصرفية رقمية، واستخدام الذكاء الاصطناعي لتحليل البيانات الضخمة</w:t>
      </w:r>
      <w:r w:rsidRPr="0052003D">
        <w:rPr>
          <w:rFonts w:ascii="Traditional Arabic" w:eastAsia="Times New Roman" w:hAnsi="Traditional Arabic" w:cs="Traditional Arabic"/>
          <w:kern w:val="0"/>
          <w:sz w:val="32"/>
          <w:szCs w:val="32"/>
          <w14:ligatures w14:val="none"/>
        </w:rPr>
        <w:t xml:space="preserve"> (</w:t>
      </w:r>
    </w:p>
    <w:p w14:paraId="735949DC" w14:textId="77777777" w:rsidR="00326DB9" w:rsidRPr="0052003D" w:rsidRDefault="00326DB9" w:rsidP="00D132F3">
      <w:pPr>
        <w:bidi/>
        <w:spacing w:after="0" w:line="240" w:lineRule="auto"/>
        <w:jc w:val="lowKashida"/>
      </w:pPr>
      <w:r w:rsidRPr="0052003D">
        <w:rPr>
          <w:rFonts w:ascii="Traditional Arabic" w:eastAsia="Times New Roman" w:hAnsi="Traditional Arabic" w:cs="Traditional Arabic"/>
          <w:kern w:val="0"/>
          <w:sz w:val="32"/>
          <w:szCs w:val="32"/>
          <w14:ligatures w14:val="none"/>
        </w:rPr>
        <w:t xml:space="preserve"> </w:t>
      </w:r>
      <w:r w:rsidRPr="0052003D">
        <w:rPr>
          <w:rFonts w:ascii="Traditional Arabic" w:eastAsia="Times New Roman" w:hAnsi="Traditional Arabic" w:cs="Traditional Arabic"/>
          <w:kern w:val="0"/>
          <w:sz w:val="32"/>
          <w:szCs w:val="32"/>
          <w:rtl/>
          <w14:ligatures w14:val="none"/>
        </w:rPr>
        <w:t xml:space="preserve">الهدف هو زيادة الكفاءة التشغيلية وتحسين تجربة العميل، مما يعزز القدرة التنافسية </w:t>
      </w:r>
      <w:r>
        <w:rPr>
          <w:rFonts w:ascii="Traditional Arabic" w:eastAsia="Times New Roman" w:hAnsi="Traditional Arabic" w:cs="Traditional Arabic" w:hint="cs"/>
          <w:kern w:val="0"/>
          <w:sz w:val="32"/>
          <w:szCs w:val="32"/>
          <w:rtl/>
          <w14:ligatures w14:val="none"/>
        </w:rPr>
        <w:t xml:space="preserve">للبنك </w:t>
      </w:r>
      <w:r w:rsidRPr="00407D7B">
        <w:rPr>
          <w:rFonts w:ascii="Garamond" w:eastAsia="Times New Roman" w:hAnsi="Garamond" w:cs="Traditional Arabic"/>
          <w:kern w:val="0"/>
          <w:rtl/>
          <w14:ligatures w14:val="none"/>
        </w:rPr>
        <w:t>(</w:t>
      </w:r>
      <w:r w:rsidRPr="00407D7B">
        <w:rPr>
          <w:rFonts w:ascii="Garamond" w:eastAsia="Times New Roman" w:hAnsi="Garamond" w:cs="Traditional Arabic"/>
          <w:kern w:val="0"/>
          <w14:ligatures w14:val="none"/>
        </w:rPr>
        <w:t>Deloitte, 2021</w:t>
      </w:r>
      <w:r>
        <w:rPr>
          <w:rFonts w:ascii="Traditional Arabic" w:eastAsia="Times New Roman" w:hAnsi="Traditional Arabic" w:cs="Traditional Arabic" w:hint="cs"/>
          <w:kern w:val="0"/>
          <w:sz w:val="32"/>
          <w:szCs w:val="32"/>
          <w:rtl/>
          <w14:ligatures w14:val="none"/>
        </w:rPr>
        <w:t>)</w:t>
      </w:r>
    </w:p>
    <w:p w14:paraId="43737D46" w14:textId="77777777" w:rsidR="00326DB9" w:rsidRPr="00D732D3"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Pr>
          <w:rFonts w:ascii="Traditional Arabic" w:hAnsi="Traditional Arabic" w:cs="Traditional Arabic" w:hint="cs"/>
          <w:b/>
          <w:bCs/>
          <w:sz w:val="32"/>
          <w:szCs w:val="32"/>
          <w:rtl/>
        </w:rPr>
        <w:t>3-</w:t>
      </w:r>
      <w:r w:rsidRPr="00D732D3">
        <w:rPr>
          <w:rFonts w:ascii="Traditional Arabic" w:hAnsi="Traditional Arabic" w:cs="Traditional Arabic"/>
          <w:b/>
          <w:bCs/>
          <w:sz w:val="32"/>
          <w:szCs w:val="32"/>
          <w:rtl/>
        </w:rPr>
        <w:t>تأثير</w:t>
      </w:r>
      <w:r w:rsidRPr="00D732D3">
        <w:rPr>
          <w:rFonts w:ascii="Traditional Arabic" w:hAnsi="Traditional Arabic" w:cs="Traditional Arabic"/>
          <w:b/>
          <w:bCs/>
          <w:sz w:val="32"/>
          <w:szCs w:val="32"/>
        </w:rPr>
        <w:t xml:space="preserve"> </w:t>
      </w:r>
      <w:r w:rsidRPr="00D732D3">
        <w:rPr>
          <w:rFonts w:ascii="Traditional Arabic" w:hAnsi="Traditional Arabic" w:cs="Traditional Arabic" w:hint="cs"/>
          <w:b/>
          <w:bCs/>
          <w:sz w:val="32"/>
          <w:szCs w:val="32"/>
          <w:rtl/>
        </w:rPr>
        <w:t>النظم المحاسبية</w:t>
      </w:r>
      <w:r w:rsidRPr="00D732D3">
        <w:rPr>
          <w:rFonts w:ascii="Traditional Arabic" w:hAnsi="Traditional Arabic" w:cs="Traditional Arabic"/>
          <w:b/>
          <w:bCs/>
          <w:sz w:val="32"/>
          <w:szCs w:val="32"/>
        </w:rPr>
        <w:t xml:space="preserve"> </w:t>
      </w:r>
      <w:r w:rsidRPr="00D732D3">
        <w:rPr>
          <w:rFonts w:ascii="Traditional Arabic" w:hAnsi="Traditional Arabic" w:cs="Traditional Arabic"/>
          <w:b/>
          <w:bCs/>
          <w:sz w:val="32"/>
          <w:szCs w:val="32"/>
          <w:rtl/>
        </w:rPr>
        <w:t>على إدارة المخاطر الائتمانية</w:t>
      </w:r>
      <w:r w:rsidRPr="00D732D3">
        <w:rPr>
          <w:rFonts w:ascii="Traditional Arabic" w:hAnsi="Traditional Arabic" w:cs="Traditional Arabic" w:hint="cs"/>
          <w:b/>
          <w:bCs/>
          <w:sz w:val="32"/>
          <w:szCs w:val="32"/>
          <w:rtl/>
        </w:rPr>
        <w:t xml:space="preserve">: </w:t>
      </w:r>
      <w:r w:rsidRPr="00D732D3">
        <w:rPr>
          <w:rFonts w:ascii="Traditional Arabic" w:eastAsia="Times New Roman" w:hAnsi="Traditional Arabic" w:cs="Traditional Arabic"/>
          <w:kern w:val="0"/>
          <w:sz w:val="32"/>
          <w:szCs w:val="32"/>
          <w:rtl/>
          <w14:ligatures w14:val="none"/>
        </w:rPr>
        <w:t>تتضح أهمية هذه النظم في مجال إدارة المخاطر الائتمانية من خلال النقاط التالية</w:t>
      </w:r>
      <w:r w:rsidRPr="00D732D3">
        <w:rPr>
          <w:rFonts w:ascii="Traditional Arabic" w:eastAsia="Times New Roman" w:hAnsi="Traditional Arabic" w:cs="Traditional Arabic"/>
          <w:kern w:val="0"/>
          <w:sz w:val="32"/>
          <w:szCs w:val="32"/>
          <w14:ligatures w14:val="none"/>
        </w:rPr>
        <w:t>:</w:t>
      </w:r>
    </w:p>
    <w:p w14:paraId="4099C61D" w14:textId="77777777" w:rsidR="00326DB9" w:rsidRPr="0052003D" w:rsidRDefault="00326DB9" w:rsidP="00D132F3">
      <w:pPr>
        <w:bidi/>
        <w:spacing w:after="0" w:line="240" w:lineRule="auto"/>
        <w:jc w:val="lowKashida"/>
        <w:outlineLvl w:val="3"/>
        <w:rPr>
          <w:rFonts w:ascii="Traditional Arabic" w:eastAsia="Times New Roman" w:hAnsi="Traditional Arabic" w:cs="Traditional Arabic"/>
          <w:kern w:val="0"/>
          <w:sz w:val="32"/>
          <w:szCs w:val="32"/>
          <w14:ligatures w14:val="none"/>
        </w:rPr>
      </w:pPr>
      <w:r>
        <w:rPr>
          <w:rFonts w:ascii="Traditional Arabic" w:hAnsi="Traditional Arabic" w:cs="Traditional Arabic"/>
          <w:b/>
          <w:bCs/>
          <w:noProof/>
          <w:sz w:val="32"/>
          <w:szCs w:val="32"/>
          <w:rtl/>
        </w:rPr>
        <w:lastRenderedPageBreak/>
        <w:drawing>
          <wp:anchor distT="0" distB="0" distL="114300" distR="114300" simplePos="0" relativeHeight="251659264" behindDoc="0" locked="0" layoutInCell="1" allowOverlap="1" wp14:anchorId="09AD51D3" wp14:editId="5928AF8B">
            <wp:simplePos x="0" y="0"/>
            <wp:positionH relativeFrom="column">
              <wp:posOffset>323850</wp:posOffset>
            </wp:positionH>
            <wp:positionV relativeFrom="paragraph">
              <wp:posOffset>494983</wp:posOffset>
            </wp:positionV>
            <wp:extent cx="5486400" cy="3200400"/>
            <wp:effectExtent l="0" t="0" r="0" b="19050"/>
            <wp:wrapTopAndBottom/>
            <wp:docPr id="124557135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anchor>
        </w:drawing>
      </w:r>
      <w:r w:rsidRPr="0052003D">
        <w:rPr>
          <w:rFonts w:ascii="Traditional Arabic" w:eastAsia="Times New Roman" w:hAnsi="Traditional Arabic" w:cs="Traditional Arabic"/>
          <w:kern w:val="0"/>
          <w:sz w:val="32"/>
          <w:szCs w:val="32"/>
          <w:rtl/>
          <w14:ligatures w14:val="none"/>
        </w:rPr>
        <w:t>أ. زيادة الكفاءة والدقة في قياس المخاطر</w:t>
      </w:r>
    </w:p>
    <w:p w14:paraId="66521EA6" w14:textId="77777777" w:rsidR="00326DB9" w:rsidRDefault="00326DB9" w:rsidP="00D132F3">
      <w:pPr>
        <w:numPr>
          <w:ilvl w:val="0"/>
          <w:numId w:val="26"/>
        </w:numPr>
        <w:bidi/>
        <w:spacing w:after="0" w:line="240" w:lineRule="auto"/>
        <w:jc w:val="lowKashida"/>
        <w:rPr>
          <w:rFonts w:ascii="Traditional Arabic" w:eastAsia="Times New Roman" w:hAnsi="Traditional Arabic" w:cs="Traditional Arabic"/>
          <w:kern w:val="0"/>
          <w:sz w:val="32"/>
          <w:szCs w:val="32"/>
          <w14:ligatures w14:val="none"/>
        </w:rPr>
      </w:pPr>
      <w:r>
        <w:rPr>
          <w:rFonts w:ascii="Traditional Arabic" w:eastAsia="Times New Roman" w:hAnsi="Traditional Arabic" w:cs="Traditional Arabic" w:hint="cs"/>
          <w:kern w:val="0"/>
          <w:sz w:val="32"/>
          <w:szCs w:val="32"/>
          <w:rtl/>
          <w14:ligatures w14:val="none"/>
        </w:rPr>
        <w:t>الشكل رقم (2) يوضح زيادة الكفاءة والدقة في قياس المخاطر المبكرة.</w:t>
      </w:r>
    </w:p>
    <w:p w14:paraId="776EB785" w14:textId="77777777" w:rsidR="00326DB9" w:rsidRPr="0052003D" w:rsidRDefault="00326DB9" w:rsidP="00D132F3">
      <w:pPr>
        <w:numPr>
          <w:ilvl w:val="0"/>
          <w:numId w:val="26"/>
        </w:numPr>
        <w:bidi/>
        <w:spacing w:after="0" w:line="240" w:lineRule="auto"/>
        <w:jc w:val="lowKashida"/>
        <w:rPr>
          <w:rFonts w:ascii="Traditional Arabic" w:eastAsia="Times New Roman" w:hAnsi="Traditional Arabic" w:cs="Traditional Arabic"/>
          <w:kern w:val="0"/>
          <w:sz w:val="32"/>
          <w:szCs w:val="32"/>
          <w14:ligatures w14:val="none"/>
        </w:rPr>
      </w:pPr>
      <w:r w:rsidRPr="0052003D">
        <w:rPr>
          <w:rFonts w:ascii="Traditional Arabic" w:eastAsia="Times New Roman" w:hAnsi="Traditional Arabic" w:cs="Traditional Arabic"/>
          <w:kern w:val="0"/>
          <w:sz w:val="32"/>
          <w:szCs w:val="32"/>
          <w:rtl/>
          <w14:ligatures w14:val="none"/>
        </w:rPr>
        <w:t>تحليل البيانات الفوري</w:t>
      </w:r>
      <w:r w:rsidRPr="0052003D">
        <w:rPr>
          <w:rFonts w:ascii="Traditional Arabic" w:eastAsia="Times New Roman" w:hAnsi="Traditional Arabic" w:cs="Traditional Arabic"/>
          <w:kern w:val="0"/>
          <w:sz w:val="32"/>
          <w:szCs w:val="32"/>
          <w14:ligatures w14:val="none"/>
        </w:rPr>
        <w:t xml:space="preserve">: </w:t>
      </w:r>
      <w:r w:rsidRPr="0052003D">
        <w:rPr>
          <w:rFonts w:ascii="Traditional Arabic" w:eastAsia="Times New Roman" w:hAnsi="Traditional Arabic" w:cs="Traditional Arabic"/>
          <w:kern w:val="0"/>
          <w:sz w:val="32"/>
          <w:szCs w:val="32"/>
          <w:rtl/>
          <w14:ligatures w14:val="none"/>
        </w:rPr>
        <w:t>تسمح نظم</w:t>
      </w:r>
      <w:r w:rsidRPr="0052003D">
        <w:rPr>
          <w:rFonts w:ascii="Traditional Arabic" w:eastAsia="Times New Roman" w:hAnsi="Traditional Arabic" w:cs="Traditional Arabic"/>
          <w:kern w:val="0"/>
          <w:sz w:val="32"/>
          <w:szCs w:val="32"/>
          <w14:ligatures w14:val="none"/>
        </w:rPr>
        <w:t xml:space="preserve"> </w:t>
      </w:r>
      <w:r w:rsidRPr="00C06161">
        <w:rPr>
          <w:rFonts w:ascii="Traditional Arabic" w:eastAsia="Times New Roman" w:hAnsi="Traditional Arabic" w:cs="Traditional Arabic"/>
          <w:kern w:val="0"/>
          <w14:ligatures w14:val="none"/>
        </w:rPr>
        <w:t xml:space="preserve">e-AIS </w:t>
      </w:r>
      <w:r w:rsidRPr="0052003D">
        <w:rPr>
          <w:rFonts w:ascii="Traditional Arabic" w:eastAsia="Times New Roman" w:hAnsi="Traditional Arabic" w:cs="Traditional Arabic"/>
          <w:kern w:val="0"/>
          <w:sz w:val="32"/>
          <w:szCs w:val="32"/>
          <w:rtl/>
          <w14:ligatures w14:val="none"/>
        </w:rPr>
        <w:t>للبنوك بجمع وتحليل بيانات العملاء بشكل لحظي، مما يقلل بشكل كبير من الوقت اللازم لتقييم المخاطر الائتمانية</w:t>
      </w:r>
      <w:r w:rsidRPr="0052003D">
        <w:rPr>
          <w:rFonts w:ascii="Traditional Arabic" w:eastAsia="Times New Roman" w:hAnsi="Traditional Arabic" w:cs="Traditional Arabic"/>
          <w:kern w:val="0"/>
          <w:sz w:val="32"/>
          <w:szCs w:val="32"/>
          <w14:ligatures w14:val="none"/>
        </w:rPr>
        <w:t>.</w:t>
      </w:r>
    </w:p>
    <w:p w14:paraId="6D8354C3" w14:textId="77777777" w:rsidR="00326DB9" w:rsidRPr="0052003D" w:rsidRDefault="00326DB9" w:rsidP="00D132F3">
      <w:pPr>
        <w:numPr>
          <w:ilvl w:val="0"/>
          <w:numId w:val="26"/>
        </w:numPr>
        <w:bidi/>
        <w:spacing w:after="0" w:line="240" w:lineRule="auto"/>
        <w:jc w:val="lowKashida"/>
        <w:rPr>
          <w:rFonts w:ascii="Traditional Arabic" w:eastAsia="Times New Roman" w:hAnsi="Traditional Arabic" w:cs="Traditional Arabic"/>
          <w:kern w:val="0"/>
          <w:sz w:val="32"/>
          <w:szCs w:val="32"/>
          <w14:ligatures w14:val="none"/>
        </w:rPr>
      </w:pPr>
      <w:r w:rsidRPr="0052003D">
        <w:rPr>
          <w:rFonts w:ascii="Traditional Arabic" w:eastAsia="Times New Roman" w:hAnsi="Traditional Arabic" w:cs="Traditional Arabic"/>
          <w:kern w:val="0"/>
          <w:sz w:val="32"/>
          <w:szCs w:val="32"/>
          <w:rtl/>
          <w14:ligatures w14:val="none"/>
        </w:rPr>
        <w:t xml:space="preserve">نماذج التقييم </w:t>
      </w:r>
      <w:r w:rsidRPr="00407D7B">
        <w:rPr>
          <w:rFonts w:ascii="Garamond" w:eastAsia="Times New Roman" w:hAnsi="Garamond" w:cs="Traditional Arabic"/>
          <w:kern w:val="0"/>
          <w:rtl/>
          <w14:ligatures w14:val="none"/>
        </w:rPr>
        <w:t>الائتماني</w:t>
      </w:r>
      <w:r w:rsidRPr="00407D7B">
        <w:rPr>
          <w:rFonts w:ascii="Garamond" w:eastAsia="Times New Roman" w:hAnsi="Garamond" w:cs="Traditional Arabic"/>
          <w:kern w:val="0"/>
          <w14:ligatures w14:val="none"/>
        </w:rPr>
        <w:t xml:space="preserve"> (Credit Scoring Models):</w:t>
      </w:r>
      <w:r w:rsidRPr="0052003D">
        <w:rPr>
          <w:rFonts w:ascii="Traditional Arabic" w:eastAsia="Times New Roman" w:hAnsi="Traditional Arabic" w:cs="Traditional Arabic"/>
          <w:kern w:val="0"/>
          <w:sz w:val="32"/>
          <w:szCs w:val="32"/>
          <w14:ligatures w14:val="none"/>
        </w:rPr>
        <w:t xml:space="preserve"> </w:t>
      </w:r>
      <w:r w:rsidRPr="0052003D">
        <w:rPr>
          <w:rFonts w:ascii="Traditional Arabic" w:eastAsia="Times New Roman" w:hAnsi="Traditional Arabic" w:cs="Traditional Arabic"/>
          <w:kern w:val="0"/>
          <w:sz w:val="32"/>
          <w:szCs w:val="32"/>
          <w:rtl/>
          <w14:ligatures w14:val="none"/>
        </w:rPr>
        <w:t>تستخدم الأنظمة البيانات التي تجمعها لبناء نماذج معقدة تتنبأ باحتمالية تخلف العميل عن السداد. هذه النماذج توفر تقييماً موضوعياً وموحداً لجميع طلبات القروض</w:t>
      </w:r>
      <w:r w:rsidRPr="0052003D">
        <w:rPr>
          <w:rFonts w:ascii="Traditional Arabic" w:eastAsia="Times New Roman" w:hAnsi="Traditional Arabic" w:cs="Traditional Arabic"/>
          <w:kern w:val="0"/>
          <w:sz w:val="32"/>
          <w:szCs w:val="32"/>
          <w14:ligatures w14:val="none"/>
        </w:rPr>
        <w:t>.</w:t>
      </w:r>
    </w:p>
    <w:p w14:paraId="6257A8F6" w14:textId="77777777" w:rsidR="00326DB9" w:rsidRPr="00407D7B" w:rsidRDefault="00326DB9" w:rsidP="00D132F3">
      <w:pPr>
        <w:numPr>
          <w:ilvl w:val="0"/>
          <w:numId w:val="26"/>
        </w:numPr>
        <w:bidi/>
        <w:spacing w:after="0" w:line="240" w:lineRule="auto"/>
        <w:jc w:val="lowKashida"/>
        <w:rPr>
          <w:rFonts w:ascii="Garamond" w:eastAsia="Times New Roman" w:hAnsi="Garamond" w:cs="Traditional Arabic"/>
          <w:kern w:val="0"/>
          <w14:ligatures w14:val="none"/>
        </w:rPr>
      </w:pPr>
      <w:r w:rsidRPr="0052003D">
        <w:rPr>
          <w:rFonts w:ascii="Traditional Arabic" w:eastAsia="Times New Roman" w:hAnsi="Traditional Arabic" w:cs="Traditional Arabic"/>
          <w:kern w:val="0"/>
          <w:sz w:val="32"/>
          <w:szCs w:val="32"/>
          <w:rtl/>
          <w14:ligatures w14:val="none"/>
        </w:rPr>
        <w:t>الشفافية والمساءلة</w:t>
      </w:r>
      <w:r w:rsidRPr="0052003D">
        <w:rPr>
          <w:rFonts w:ascii="Traditional Arabic" w:eastAsia="Times New Roman" w:hAnsi="Traditional Arabic" w:cs="Traditional Arabic"/>
          <w:kern w:val="0"/>
          <w:sz w:val="32"/>
          <w:szCs w:val="32"/>
          <w14:ligatures w14:val="none"/>
        </w:rPr>
        <w:t xml:space="preserve">: </w:t>
      </w:r>
      <w:r w:rsidRPr="0052003D">
        <w:rPr>
          <w:rFonts w:ascii="Traditional Arabic" w:eastAsia="Times New Roman" w:hAnsi="Traditional Arabic" w:cs="Traditional Arabic"/>
          <w:kern w:val="0"/>
          <w:sz w:val="32"/>
          <w:szCs w:val="32"/>
          <w:rtl/>
          <w14:ligatures w14:val="none"/>
        </w:rPr>
        <w:t>تعمل هذه الأنظمة على توثيق كل خطوة في عملية تقييم القرض، مما يضمن الشفافية ويجعل عملية اتخاذ القرار أكثر مسؤولية</w:t>
      </w:r>
      <w:r w:rsidRPr="0052003D">
        <w:rPr>
          <w:rFonts w:ascii="Traditional Arabic" w:eastAsia="Times New Roman" w:hAnsi="Traditional Arabic" w:cs="Traditional Arabic"/>
          <w:kern w:val="0"/>
          <w:sz w:val="32"/>
          <w:szCs w:val="32"/>
          <w14:ligatures w14:val="none"/>
        </w:rPr>
        <w:t>.</w:t>
      </w:r>
      <w:r>
        <w:rPr>
          <w:rFonts w:ascii="Traditional Arabic" w:eastAsia="Times New Roman" w:hAnsi="Traditional Arabic" w:cs="Traditional Arabic" w:hint="cs"/>
          <w:kern w:val="0"/>
          <w:sz w:val="32"/>
          <w:szCs w:val="32"/>
          <w:rtl/>
          <w14:ligatures w14:val="none"/>
        </w:rPr>
        <w:t xml:space="preserve"> </w:t>
      </w:r>
      <w:r w:rsidRPr="008E06BB">
        <w:rPr>
          <w:rFonts w:ascii="Traditional Arabic" w:eastAsia="Times New Roman" w:hAnsi="Traditional Arabic" w:cs="Traditional Arabic"/>
          <w:kern w:val="0"/>
          <w:sz w:val="32"/>
          <w:szCs w:val="32"/>
          <w:rtl/>
          <w14:ligatures w14:val="none"/>
        </w:rPr>
        <w:t>يؤكد هذا التقرير على دور الذكاء الاصطناعي والتعلم الآلي في بناء نماذج تقييم المخاطر الدقيقة</w:t>
      </w:r>
      <w:r w:rsidRPr="00407D7B">
        <w:rPr>
          <w:rFonts w:ascii="Garamond" w:eastAsia="Times New Roman" w:hAnsi="Garamond" w:cs="Traditional Arabic"/>
          <w:kern w:val="0"/>
          <w14:ligatures w14:val="none"/>
        </w:rPr>
        <w:t>.</w:t>
      </w:r>
      <w:r w:rsidRPr="00407D7B">
        <w:rPr>
          <w:rFonts w:ascii="Garamond" w:eastAsia="Times New Roman" w:hAnsi="Garamond" w:cs="Traditional Arabic"/>
          <w:kern w:val="0"/>
          <w:rtl/>
          <w14:ligatures w14:val="none"/>
        </w:rPr>
        <w:t xml:space="preserve">   (</w:t>
      </w:r>
      <w:r w:rsidRPr="00407D7B">
        <w:rPr>
          <w:rFonts w:ascii="Garamond" w:eastAsia="Times New Roman" w:hAnsi="Garamond" w:cs="Traditional Arabic"/>
          <w:kern w:val="0"/>
          <w14:ligatures w14:val="none"/>
        </w:rPr>
        <w:t>PwC, 2020</w:t>
      </w:r>
      <w:r w:rsidRPr="00407D7B">
        <w:rPr>
          <w:rFonts w:ascii="Garamond" w:eastAsia="Times New Roman" w:hAnsi="Garamond" w:cs="Traditional Arabic"/>
          <w:kern w:val="0"/>
          <w:rtl/>
          <w14:ligatures w14:val="none"/>
        </w:rPr>
        <w:t>).</w:t>
      </w:r>
    </w:p>
    <w:p w14:paraId="57F9C367" w14:textId="77777777" w:rsidR="00326DB9" w:rsidRPr="0005091E"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Pr>
          <w:rFonts w:ascii="Traditional Arabic" w:hAnsi="Traditional Arabic" w:cs="Traditional Arabic" w:hint="cs"/>
          <w:b/>
          <w:bCs/>
          <w:sz w:val="32"/>
          <w:szCs w:val="32"/>
          <w:rtl/>
        </w:rPr>
        <w:t>4-</w:t>
      </w:r>
      <w:r w:rsidRPr="0052003D">
        <w:rPr>
          <w:rFonts w:ascii="Traditional Arabic" w:hAnsi="Traditional Arabic" w:cs="Traditional Arabic"/>
          <w:b/>
          <w:bCs/>
          <w:sz w:val="32"/>
          <w:szCs w:val="32"/>
          <w:rtl/>
        </w:rPr>
        <w:t xml:space="preserve"> تحسين عملية اتخاذ القرارات الائتمانية</w:t>
      </w:r>
      <w:r>
        <w:rPr>
          <w:rFonts w:ascii="Traditional Arabic" w:hAnsi="Traditional Arabic" w:cs="Traditional Arabic" w:hint="cs"/>
          <w:b/>
          <w:bCs/>
          <w:sz w:val="32"/>
          <w:szCs w:val="32"/>
          <w:rtl/>
        </w:rPr>
        <w:t xml:space="preserve">: </w:t>
      </w:r>
      <w:r w:rsidRPr="0052003D">
        <w:rPr>
          <w:rFonts w:ascii="Traditional Arabic" w:eastAsia="Times New Roman" w:hAnsi="Traditional Arabic" w:cs="Traditional Arabic"/>
          <w:kern w:val="0"/>
          <w:sz w:val="32"/>
          <w:szCs w:val="32"/>
          <w:rtl/>
          <w14:ligatures w14:val="none"/>
        </w:rPr>
        <w:t>القرارات المستندة إلى البيانات</w:t>
      </w:r>
      <w:r w:rsidRPr="0052003D">
        <w:rPr>
          <w:rFonts w:ascii="Traditional Arabic" w:eastAsia="Times New Roman" w:hAnsi="Traditional Arabic" w:cs="Traditional Arabic"/>
          <w:kern w:val="0"/>
          <w:sz w:val="32"/>
          <w:szCs w:val="32"/>
          <w14:ligatures w14:val="none"/>
        </w:rPr>
        <w:t xml:space="preserve">: </w:t>
      </w:r>
      <w:r w:rsidRPr="0052003D">
        <w:rPr>
          <w:rFonts w:ascii="Traditional Arabic" w:eastAsia="Times New Roman" w:hAnsi="Traditional Arabic" w:cs="Traditional Arabic"/>
          <w:kern w:val="0"/>
          <w:sz w:val="32"/>
          <w:szCs w:val="32"/>
          <w:rtl/>
          <w14:ligatures w14:val="none"/>
        </w:rPr>
        <w:t xml:space="preserve">تمكن </w:t>
      </w:r>
      <w:r w:rsidRPr="0052003D">
        <w:rPr>
          <w:rFonts w:ascii="Traditional Arabic" w:eastAsia="Times New Roman" w:hAnsi="Traditional Arabic" w:cs="Traditional Arabic" w:hint="cs"/>
          <w:kern w:val="0"/>
          <w:sz w:val="32"/>
          <w:szCs w:val="32"/>
          <w:rtl/>
          <w14:ligatures w14:val="none"/>
        </w:rPr>
        <w:t>نظم</w:t>
      </w:r>
      <w:r w:rsidRPr="0052003D">
        <w:rPr>
          <w:rFonts w:ascii="Traditional Arabic" w:eastAsia="Times New Roman" w:hAnsi="Traditional Arabic" w:cs="Traditional Arabic"/>
          <w:kern w:val="0"/>
          <w:sz w:val="32"/>
          <w:szCs w:val="32"/>
          <w14:ligatures w14:val="none"/>
        </w:rPr>
        <w:t xml:space="preserve"> </w:t>
      </w:r>
      <w:r w:rsidRPr="0052003D">
        <w:rPr>
          <w:rFonts w:ascii="Traditional Arabic" w:eastAsia="Times New Roman" w:hAnsi="Traditional Arabic" w:cs="Traditional Arabic"/>
          <w:kern w:val="0"/>
          <w:sz w:val="32"/>
          <w:szCs w:val="32"/>
          <w:rtl/>
          <w14:ligatures w14:val="none"/>
        </w:rPr>
        <w:t>صناع القرار من اتخاذ قرارات ائتمانية مبنية على تحليلات دقيقة، بدلاً من الاعتماد على التقديرات الشخصية</w:t>
      </w:r>
      <w:r w:rsidRPr="0052003D">
        <w:rPr>
          <w:rFonts w:ascii="Traditional Arabic" w:eastAsia="Times New Roman" w:hAnsi="Traditional Arabic" w:cs="Traditional Arabic"/>
          <w:kern w:val="0"/>
          <w:sz w:val="32"/>
          <w:szCs w:val="32"/>
          <w14:ligatures w14:val="none"/>
        </w:rPr>
        <w:t>.</w:t>
      </w:r>
    </w:p>
    <w:p w14:paraId="23CA1EAF" w14:textId="77777777" w:rsidR="00326DB9" w:rsidRPr="0052003D" w:rsidRDefault="00326DB9" w:rsidP="00D132F3">
      <w:pPr>
        <w:numPr>
          <w:ilvl w:val="0"/>
          <w:numId w:val="27"/>
        </w:numPr>
        <w:bidi/>
        <w:spacing w:after="0" w:line="240" w:lineRule="auto"/>
        <w:jc w:val="lowKashida"/>
        <w:rPr>
          <w:rFonts w:ascii="Traditional Arabic" w:eastAsia="Times New Roman" w:hAnsi="Traditional Arabic" w:cs="Traditional Arabic"/>
          <w:kern w:val="0"/>
          <w:sz w:val="32"/>
          <w:szCs w:val="32"/>
          <w14:ligatures w14:val="none"/>
        </w:rPr>
      </w:pPr>
      <w:r w:rsidRPr="0052003D">
        <w:rPr>
          <w:rFonts w:ascii="Traditional Arabic" w:eastAsia="Times New Roman" w:hAnsi="Traditional Arabic" w:cs="Traditional Arabic"/>
          <w:kern w:val="0"/>
          <w:sz w:val="32"/>
          <w:szCs w:val="32"/>
          <w:rtl/>
          <w14:ligatures w14:val="none"/>
        </w:rPr>
        <w:t>التخصيص والمراقبة</w:t>
      </w:r>
      <w:r w:rsidRPr="0052003D">
        <w:rPr>
          <w:rFonts w:ascii="Traditional Arabic" w:eastAsia="Times New Roman" w:hAnsi="Traditional Arabic" w:cs="Traditional Arabic"/>
          <w:kern w:val="0"/>
          <w:sz w:val="32"/>
          <w:szCs w:val="32"/>
          <w14:ligatures w14:val="none"/>
        </w:rPr>
        <w:t xml:space="preserve">: </w:t>
      </w:r>
      <w:r w:rsidRPr="0052003D">
        <w:rPr>
          <w:rFonts w:ascii="Traditional Arabic" w:eastAsia="Times New Roman" w:hAnsi="Traditional Arabic" w:cs="Traditional Arabic"/>
          <w:kern w:val="0"/>
          <w:sz w:val="32"/>
          <w:szCs w:val="32"/>
          <w:rtl/>
          <w14:ligatures w14:val="none"/>
        </w:rPr>
        <w:t>تساعد هذه الأنظمة في تحديد شروط القرض المناسبة لكل عميل بناءً على درجة مخاطره. كما تتيح مراقبة مستمرة لمحفظة القروض، مما يساعد على اكتشاف القروض التي قد تتعثر في وقت مبكر</w:t>
      </w:r>
      <w:r w:rsidRPr="0052003D">
        <w:rPr>
          <w:rFonts w:ascii="Traditional Arabic" w:eastAsia="Times New Roman" w:hAnsi="Traditional Arabic" w:cs="Traditional Arabic"/>
          <w:kern w:val="0"/>
          <w:sz w:val="32"/>
          <w:szCs w:val="32"/>
          <w14:ligatures w14:val="none"/>
        </w:rPr>
        <w:t>.</w:t>
      </w:r>
    </w:p>
    <w:p w14:paraId="1C07F85E" w14:textId="77777777" w:rsidR="00326DB9" w:rsidRPr="0052003D" w:rsidRDefault="00326DB9" w:rsidP="00D132F3">
      <w:pPr>
        <w:numPr>
          <w:ilvl w:val="0"/>
          <w:numId w:val="27"/>
        </w:numPr>
        <w:bidi/>
        <w:spacing w:after="0" w:line="240" w:lineRule="auto"/>
        <w:jc w:val="lowKashida"/>
        <w:rPr>
          <w:rFonts w:ascii="Traditional Arabic" w:eastAsia="Times New Roman" w:hAnsi="Traditional Arabic" w:cs="Traditional Arabic"/>
          <w:kern w:val="0"/>
          <w:sz w:val="32"/>
          <w:szCs w:val="32"/>
          <w14:ligatures w14:val="none"/>
        </w:rPr>
      </w:pPr>
      <w:r w:rsidRPr="0052003D">
        <w:rPr>
          <w:rFonts w:ascii="Traditional Arabic" w:eastAsia="Times New Roman" w:hAnsi="Traditional Arabic" w:cs="Traditional Arabic"/>
          <w:kern w:val="0"/>
          <w:sz w:val="32"/>
          <w:szCs w:val="32"/>
          <w:rtl/>
          <w14:ligatures w14:val="none"/>
        </w:rPr>
        <w:t>التوثيق</w:t>
      </w:r>
      <w:r>
        <w:rPr>
          <w:rFonts w:ascii="Traditional Arabic" w:eastAsia="Times New Roman" w:hAnsi="Traditional Arabic" w:cs="Traditional Arabic"/>
          <w:kern w:val="0"/>
          <w:sz w:val="32"/>
          <w:szCs w:val="32"/>
          <w14:ligatures w14:val="none"/>
        </w:rPr>
        <w:t xml:space="preserve"> </w:t>
      </w:r>
      <w:r w:rsidRPr="0052003D">
        <w:rPr>
          <w:rFonts w:ascii="Traditional Arabic" w:eastAsia="Times New Roman" w:hAnsi="Traditional Arabic" w:cs="Traditional Arabic"/>
          <w:kern w:val="0"/>
          <w:sz w:val="32"/>
          <w:szCs w:val="32"/>
          <w14:ligatures w14:val="none"/>
        </w:rPr>
        <w:t xml:space="preserve">" </w:t>
      </w:r>
      <w:r w:rsidRPr="00407D7B">
        <w:rPr>
          <w:rFonts w:ascii="Garamond" w:eastAsia="Times New Roman" w:hAnsi="Garamond" w:cs="Traditional Arabic"/>
          <w:kern w:val="0"/>
          <w14:ligatures w14:val="none"/>
        </w:rPr>
        <w:t>(KPMG, 2019</w:t>
      </w:r>
      <w:r w:rsidRPr="0052003D">
        <w:rPr>
          <w:rFonts w:ascii="Traditional Arabic" w:eastAsia="Times New Roman" w:hAnsi="Traditional Arabic" w:cs="Traditional Arabic"/>
          <w:kern w:val="0"/>
          <w:sz w:val="32"/>
          <w:szCs w:val="32"/>
          <w14:ligatures w14:val="none"/>
        </w:rPr>
        <w:t xml:space="preserve">). </w:t>
      </w:r>
      <w:r w:rsidRPr="0052003D">
        <w:rPr>
          <w:rFonts w:ascii="Traditional Arabic" w:eastAsia="Times New Roman" w:hAnsi="Traditional Arabic" w:cs="Traditional Arabic"/>
          <w:kern w:val="0"/>
          <w:sz w:val="32"/>
          <w:szCs w:val="32"/>
          <w:rtl/>
          <w14:ligatures w14:val="none"/>
        </w:rPr>
        <w:t>يوضح هذا التقرير كيف أن البيانات والتحليلات الدقيقة تؤدي إلى اتخاذ قرارات مالية أفضل</w:t>
      </w:r>
      <w:r w:rsidRPr="0052003D">
        <w:rPr>
          <w:rFonts w:ascii="Traditional Arabic" w:eastAsia="Times New Roman" w:hAnsi="Traditional Arabic" w:cs="Traditional Arabic"/>
          <w:kern w:val="0"/>
          <w:sz w:val="32"/>
          <w:szCs w:val="32"/>
          <w14:ligatures w14:val="none"/>
        </w:rPr>
        <w:t>.</w:t>
      </w:r>
    </w:p>
    <w:p w14:paraId="78CFEAFD" w14:textId="77777777" w:rsidR="00326DB9" w:rsidRPr="006816BB" w:rsidRDefault="00326DB9" w:rsidP="00D132F3">
      <w:pPr>
        <w:bidi/>
        <w:spacing w:after="0" w:line="240" w:lineRule="auto"/>
        <w:jc w:val="lowKashida"/>
        <w:rPr>
          <w:rFonts w:ascii="Traditional Arabic" w:hAnsi="Traditional Arabic" w:cs="Traditional Arabic"/>
          <w:sz w:val="32"/>
          <w:szCs w:val="32"/>
        </w:rPr>
      </w:pPr>
      <w:r>
        <w:rPr>
          <w:rFonts w:ascii="Traditional Arabic" w:hAnsi="Traditional Arabic" w:cs="Traditional Arabic" w:hint="cs"/>
          <w:b/>
          <w:bCs/>
          <w:sz w:val="32"/>
          <w:szCs w:val="32"/>
          <w:rtl/>
        </w:rPr>
        <w:lastRenderedPageBreak/>
        <w:t xml:space="preserve">ثانيا: </w:t>
      </w:r>
      <w:r w:rsidRPr="0052003D">
        <w:rPr>
          <w:rFonts w:ascii="Traditional Arabic" w:hAnsi="Traditional Arabic" w:cs="Traditional Arabic"/>
          <w:b/>
          <w:bCs/>
          <w:sz w:val="32"/>
          <w:szCs w:val="32"/>
          <w:rtl/>
        </w:rPr>
        <w:t>الخصوصية في البنوك الإسلامية الكويتية</w:t>
      </w:r>
      <w:r>
        <w:rPr>
          <w:rFonts w:ascii="Traditional Arabic" w:hAnsi="Traditional Arabic" w:cs="Traditional Arabic" w:hint="cs"/>
          <w:b/>
          <w:bCs/>
          <w:sz w:val="32"/>
          <w:szCs w:val="32"/>
          <w:rtl/>
        </w:rPr>
        <w:t xml:space="preserve">: </w:t>
      </w:r>
      <w:r w:rsidRPr="0052003D">
        <w:rPr>
          <w:rFonts w:ascii="Traditional Arabic" w:eastAsia="Times New Roman" w:hAnsi="Traditional Arabic" w:cs="Traditional Arabic"/>
          <w:kern w:val="0"/>
          <w:sz w:val="32"/>
          <w:szCs w:val="32"/>
          <w:rtl/>
          <w14:ligatures w14:val="none"/>
        </w:rPr>
        <w:t xml:space="preserve">بالنسبة للبنوك الإسلامية، هناك بعد إضافي يتمثل في الالتزام بمبادئ </w:t>
      </w:r>
      <w:r w:rsidRPr="006816BB">
        <w:rPr>
          <w:rFonts w:ascii="Traditional Arabic" w:eastAsia="Times New Roman" w:hAnsi="Traditional Arabic" w:cs="Traditional Arabic"/>
          <w:kern w:val="0"/>
          <w:sz w:val="32"/>
          <w:szCs w:val="32"/>
          <w:rtl/>
          <w14:ligatures w14:val="none"/>
        </w:rPr>
        <w:t>الشريعة الإسلامية</w:t>
      </w:r>
      <w:r w:rsidRPr="006816BB">
        <w:rPr>
          <w:rFonts w:ascii="Traditional Arabic" w:eastAsia="Times New Roman" w:hAnsi="Traditional Arabic" w:cs="Traditional Arabic"/>
          <w:kern w:val="0"/>
          <w:sz w:val="32"/>
          <w:szCs w:val="32"/>
          <w14:ligatures w14:val="none"/>
        </w:rPr>
        <w:t>:</w:t>
      </w:r>
    </w:p>
    <w:p w14:paraId="5B76D8A1" w14:textId="77777777" w:rsidR="00326DB9" w:rsidRPr="006816BB"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6816BB">
        <w:rPr>
          <w:rFonts w:ascii="Traditional Arabic" w:eastAsia="Times New Roman" w:hAnsi="Traditional Arabic" w:cs="Traditional Arabic" w:hint="cs"/>
          <w:kern w:val="0"/>
          <w:sz w:val="32"/>
          <w:szCs w:val="32"/>
          <w:rtl/>
          <w14:ligatures w14:val="none"/>
        </w:rPr>
        <w:t>1-</w:t>
      </w:r>
      <w:r w:rsidRPr="006816BB">
        <w:rPr>
          <w:rFonts w:ascii="Traditional Arabic" w:eastAsia="Times New Roman" w:hAnsi="Traditional Arabic" w:cs="Traditional Arabic"/>
          <w:kern w:val="0"/>
          <w:sz w:val="32"/>
          <w:szCs w:val="32"/>
          <w:rtl/>
          <w14:ligatures w14:val="none"/>
        </w:rPr>
        <w:t>الالتزام بالمبادئ الشرعية</w:t>
      </w:r>
      <w:r w:rsidRPr="006816BB">
        <w:rPr>
          <w:rFonts w:ascii="Traditional Arabic" w:eastAsia="Times New Roman" w:hAnsi="Traditional Arabic" w:cs="Traditional Arabic"/>
          <w:kern w:val="0"/>
          <w:sz w:val="32"/>
          <w:szCs w:val="32"/>
          <w14:ligatures w14:val="none"/>
        </w:rPr>
        <w:t>:</w:t>
      </w:r>
      <w:r w:rsidRPr="006816BB">
        <w:rPr>
          <w:rFonts w:ascii="Traditional Arabic" w:eastAsia="Times New Roman" w:hAnsi="Traditional Arabic" w:cs="Traditional Arabic" w:hint="cs"/>
          <w:kern w:val="0"/>
          <w:sz w:val="32"/>
          <w:szCs w:val="32"/>
          <w:rtl/>
          <w14:ligatures w14:val="none"/>
        </w:rPr>
        <w:t xml:space="preserve"> </w:t>
      </w:r>
      <w:r w:rsidRPr="006816BB">
        <w:rPr>
          <w:rFonts w:ascii="Traditional Arabic" w:eastAsia="Times New Roman" w:hAnsi="Traditional Arabic" w:cs="Traditional Arabic"/>
          <w:kern w:val="0"/>
          <w:sz w:val="32"/>
          <w:szCs w:val="32"/>
          <w:rtl/>
          <w14:ligatures w14:val="none"/>
        </w:rPr>
        <w:t>يجب أن تتوافق جميع المنتجات المالية مع مبادئ الشريعة الإسلامية، مثل تجنب الربا والميسر. تُسهل نظم</w:t>
      </w:r>
      <w:r w:rsidRPr="006816BB">
        <w:rPr>
          <w:rFonts w:ascii="Traditional Arabic" w:eastAsia="Times New Roman" w:hAnsi="Traditional Arabic" w:cs="Traditional Arabic"/>
          <w:kern w:val="0"/>
          <w:sz w:val="32"/>
          <w:szCs w:val="32"/>
          <w14:ligatures w14:val="none"/>
        </w:rPr>
        <w:t xml:space="preserve"> </w:t>
      </w:r>
      <w:r w:rsidRPr="00407D7B">
        <w:rPr>
          <w:rFonts w:ascii="Garamond" w:eastAsia="Times New Roman" w:hAnsi="Garamond" w:cs="Traditional Arabic"/>
          <w:kern w:val="0"/>
          <w14:ligatures w14:val="none"/>
        </w:rPr>
        <w:t>e-AIS</w:t>
      </w:r>
      <w:r w:rsidRPr="006816BB">
        <w:rPr>
          <w:rFonts w:ascii="Traditional Arabic" w:eastAsia="Times New Roman" w:hAnsi="Traditional Arabic" w:cs="Traditional Arabic"/>
          <w:kern w:val="0"/>
          <w:sz w:val="32"/>
          <w:szCs w:val="32"/>
          <w14:ligatures w14:val="none"/>
        </w:rPr>
        <w:t xml:space="preserve"> </w:t>
      </w:r>
      <w:r w:rsidRPr="006816BB">
        <w:rPr>
          <w:rFonts w:ascii="Traditional Arabic" w:eastAsia="Times New Roman" w:hAnsi="Traditional Arabic" w:cs="Traditional Arabic"/>
          <w:kern w:val="0"/>
          <w:sz w:val="32"/>
          <w:szCs w:val="32"/>
          <w:rtl/>
          <w14:ligatures w14:val="none"/>
        </w:rPr>
        <w:t>تتبع هذا الالتزام وتوثيقه، مما يضمن أن جميع التعاملات المالية تتوافق مع القواعد الشرعية</w:t>
      </w:r>
      <w:r w:rsidRPr="006816BB">
        <w:rPr>
          <w:rFonts w:ascii="Traditional Arabic" w:eastAsia="Times New Roman" w:hAnsi="Traditional Arabic" w:cs="Traditional Arabic"/>
          <w:kern w:val="0"/>
          <w:sz w:val="32"/>
          <w:szCs w:val="32"/>
          <w14:ligatures w14:val="none"/>
        </w:rPr>
        <w:t>.</w:t>
      </w:r>
    </w:p>
    <w:p w14:paraId="796187E7" w14:textId="77777777" w:rsidR="00326DB9" w:rsidRPr="006816BB"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sidRPr="006816BB">
        <w:rPr>
          <w:rFonts w:ascii="Traditional Arabic" w:eastAsia="Times New Roman" w:hAnsi="Traditional Arabic" w:cs="Traditional Arabic" w:hint="cs"/>
          <w:kern w:val="0"/>
          <w:sz w:val="32"/>
          <w:szCs w:val="32"/>
          <w:rtl/>
          <w14:ligatures w14:val="none"/>
        </w:rPr>
        <w:t>2-</w:t>
      </w:r>
      <w:r w:rsidRPr="006816BB">
        <w:rPr>
          <w:rFonts w:ascii="Traditional Arabic" w:eastAsia="Times New Roman" w:hAnsi="Traditional Arabic" w:cs="Traditional Arabic"/>
          <w:kern w:val="0"/>
          <w:sz w:val="32"/>
          <w:szCs w:val="32"/>
          <w:rtl/>
          <w14:ligatures w14:val="none"/>
        </w:rPr>
        <w:t>الشفافية والعدالة</w:t>
      </w:r>
      <w:r w:rsidRPr="006816BB">
        <w:rPr>
          <w:rFonts w:ascii="Traditional Arabic" w:eastAsia="Times New Roman" w:hAnsi="Traditional Arabic" w:cs="Traditional Arabic"/>
          <w:kern w:val="0"/>
          <w:sz w:val="32"/>
          <w:szCs w:val="32"/>
          <w14:ligatures w14:val="none"/>
        </w:rPr>
        <w:t xml:space="preserve">: </w:t>
      </w:r>
      <w:r w:rsidRPr="006816BB">
        <w:rPr>
          <w:rFonts w:ascii="Traditional Arabic" w:eastAsia="Times New Roman" w:hAnsi="Traditional Arabic" w:cs="Traditional Arabic"/>
          <w:kern w:val="0"/>
          <w:sz w:val="32"/>
          <w:szCs w:val="32"/>
          <w:rtl/>
          <w14:ligatures w14:val="none"/>
        </w:rPr>
        <w:t>تعزز هذه الأنظمة الشفافية والعدالة في المعاملات المالية، وهما مبدآن أساسيان في المصرفية الإسلامية</w:t>
      </w:r>
      <w:r w:rsidRPr="006816BB">
        <w:rPr>
          <w:rFonts w:ascii="Traditional Arabic" w:eastAsia="Times New Roman" w:hAnsi="Traditional Arabic" w:cs="Traditional Arabic"/>
          <w:kern w:val="0"/>
          <w:sz w:val="32"/>
          <w:szCs w:val="32"/>
          <w14:ligatures w14:val="none"/>
        </w:rPr>
        <w:t xml:space="preserve">. </w:t>
      </w:r>
      <w:r w:rsidRPr="00407D7B">
        <w:rPr>
          <w:rFonts w:ascii="Garamond" w:eastAsia="Times New Roman" w:hAnsi="Garamond" w:cs="Traditional Arabic"/>
          <w:kern w:val="0"/>
          <w14:ligatures w14:val="none"/>
        </w:rPr>
        <w:t>"</w:t>
      </w:r>
      <w:bookmarkStart w:id="9" w:name="_Hlk210080200"/>
      <w:r w:rsidRPr="00407D7B">
        <w:rPr>
          <w:rFonts w:ascii="Garamond" w:eastAsia="Times New Roman" w:hAnsi="Garamond" w:cs="Traditional Arabic"/>
          <w:kern w:val="0"/>
          <w14:ligatures w14:val="none"/>
        </w:rPr>
        <w:t>(Deloitte, 2021)</w:t>
      </w:r>
      <w:r w:rsidRPr="006816BB">
        <w:rPr>
          <w:rFonts w:ascii="Traditional Arabic" w:eastAsia="Times New Roman" w:hAnsi="Traditional Arabic" w:cs="Traditional Arabic"/>
          <w:kern w:val="0"/>
          <w:sz w:val="32"/>
          <w:szCs w:val="32"/>
          <w14:ligatures w14:val="none"/>
        </w:rPr>
        <w:t>.</w:t>
      </w:r>
      <w:bookmarkEnd w:id="9"/>
    </w:p>
    <w:p w14:paraId="2DA7ACF1" w14:textId="77777777" w:rsidR="00326DB9" w:rsidRDefault="00326DB9" w:rsidP="00D132F3">
      <w:pPr>
        <w:bidi/>
        <w:spacing w:after="0" w:line="240" w:lineRule="auto"/>
        <w:jc w:val="lowKashida"/>
        <w:rPr>
          <w:rFonts w:ascii="Times New Roman" w:eastAsia="Times New Roman" w:hAnsi="Times New Roman" w:cs="Times New Roman"/>
          <w:b/>
          <w:bCs/>
          <w:kern w:val="0"/>
          <w:sz w:val="27"/>
          <w:szCs w:val="27"/>
          <w:rtl/>
          <w14:ligatures w14:val="none"/>
        </w:rPr>
      </w:pPr>
      <w:r w:rsidRPr="00D34905">
        <w:rPr>
          <w:rFonts w:ascii="Traditional Arabic" w:eastAsia="Times New Roman" w:hAnsi="Traditional Arabic" w:cs="Traditional Arabic"/>
          <w:b/>
          <w:bCs/>
          <w:kern w:val="0"/>
          <w:sz w:val="32"/>
          <w:szCs w:val="32"/>
          <w:rtl/>
          <w14:ligatures w14:val="none"/>
        </w:rPr>
        <w:t>ثالثا</w:t>
      </w:r>
      <w:r w:rsidRPr="00D34905">
        <w:rPr>
          <w:rFonts w:ascii="Traditional Arabic" w:eastAsia="Times New Roman" w:hAnsi="Traditional Arabic" w:cs="Traditional Arabic"/>
          <w:kern w:val="0"/>
          <w:sz w:val="32"/>
          <w:szCs w:val="32"/>
          <w:rtl/>
          <w14:ligatures w14:val="none"/>
        </w:rPr>
        <w:t>:</w:t>
      </w:r>
      <w:r>
        <w:rPr>
          <w:rFonts w:ascii="Times New Roman" w:eastAsia="Times New Roman" w:hAnsi="Times New Roman" w:cs="Times New Roman" w:hint="cs"/>
          <w:kern w:val="0"/>
          <w:rtl/>
          <w14:ligatures w14:val="none"/>
        </w:rPr>
        <w:t xml:space="preserve"> </w:t>
      </w:r>
      <w:r w:rsidRPr="009C4C43">
        <w:rPr>
          <w:rFonts w:ascii="Traditional Arabic" w:eastAsia="Times New Roman" w:hAnsi="Traditional Arabic" w:cs="Traditional Arabic"/>
          <w:b/>
          <w:bCs/>
          <w:kern w:val="0"/>
          <w:sz w:val="36"/>
          <w:szCs w:val="36"/>
          <w:rtl/>
          <w14:ligatures w14:val="none"/>
        </w:rPr>
        <w:t>أثر المخاطر الائتمانية</w:t>
      </w:r>
      <w:r w:rsidRPr="009C4C43">
        <w:rPr>
          <w:rFonts w:ascii="Times New Roman" w:eastAsia="Times New Roman" w:hAnsi="Times New Roman" w:cs="Times New Roman"/>
          <w:kern w:val="0"/>
          <w:rtl/>
          <w14:ligatures w14:val="none"/>
        </w:rPr>
        <w:t xml:space="preserve"> على عملية اتخاذ القرارات الائتمانية</w:t>
      </w:r>
      <w:r>
        <w:rPr>
          <w:rFonts w:ascii="Times New Roman" w:eastAsia="Times New Roman" w:hAnsi="Times New Roman" w:cs="Times New Roman" w:hint="cs"/>
          <w:kern w:val="0"/>
          <w:rtl/>
          <w14:ligatures w14:val="none"/>
        </w:rPr>
        <w:t xml:space="preserve"> </w:t>
      </w:r>
    </w:p>
    <w:p w14:paraId="14A2757E" w14:textId="77777777" w:rsidR="00326DB9" w:rsidRPr="00031128"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031128">
        <w:rPr>
          <w:rFonts w:ascii="Traditional Arabic" w:eastAsia="Times New Roman" w:hAnsi="Traditional Arabic" w:cs="Traditional Arabic"/>
          <w:kern w:val="0"/>
          <w:sz w:val="32"/>
          <w:szCs w:val="32"/>
          <w:rtl/>
          <w14:ligatures w14:val="none"/>
        </w:rPr>
        <w:t>1-</w:t>
      </w:r>
      <w:r w:rsidRPr="00031128">
        <w:rPr>
          <w:rFonts w:ascii="Traditional Arabic" w:eastAsia="Times New Roman" w:hAnsi="Traditional Arabic" w:cs="Traditional Arabic"/>
          <w:kern w:val="0"/>
          <w:sz w:val="32"/>
          <w:szCs w:val="32"/>
          <w14:ligatures w14:val="none"/>
        </w:rPr>
        <w:t xml:space="preserve"> </w:t>
      </w:r>
      <w:r w:rsidRPr="00031128">
        <w:rPr>
          <w:rFonts w:ascii="Traditional Arabic" w:eastAsia="Times New Roman" w:hAnsi="Traditional Arabic" w:cs="Traditional Arabic"/>
          <w:kern w:val="0"/>
          <w:sz w:val="32"/>
          <w:szCs w:val="32"/>
          <w:rtl/>
          <w14:ligatures w14:val="none"/>
        </w:rPr>
        <w:t xml:space="preserve">تحديد معايير وشروط </w:t>
      </w:r>
      <w:r w:rsidRPr="00D34905">
        <w:rPr>
          <w:rFonts w:ascii="Traditional Arabic" w:eastAsia="Times New Roman" w:hAnsi="Traditional Arabic" w:cs="Traditional Arabic"/>
          <w:b/>
          <w:bCs/>
          <w:kern w:val="0"/>
          <w:sz w:val="32"/>
          <w:szCs w:val="32"/>
          <w:rtl/>
          <w14:ligatures w14:val="none"/>
        </w:rPr>
        <w:t>الائتمان</w:t>
      </w:r>
      <w:r w:rsidRPr="00031128">
        <w:rPr>
          <w:rFonts w:ascii="Traditional Arabic" w:eastAsia="Times New Roman" w:hAnsi="Traditional Arabic" w:cs="Traditional Arabic"/>
          <w:kern w:val="0"/>
          <w:sz w:val="32"/>
          <w:szCs w:val="32"/>
          <w:rtl/>
          <w14:ligatures w14:val="none"/>
        </w:rPr>
        <w:t>: يمثل الأساس في تقييم العميل وتحديد أهلية الحصول على التمويل</w:t>
      </w:r>
      <w:r w:rsidRPr="00031128">
        <w:rPr>
          <w:rFonts w:ascii="Traditional Arabic" w:eastAsia="Times New Roman" w:hAnsi="Traditional Arabic" w:cs="Traditional Arabic"/>
          <w:kern w:val="0"/>
          <w:sz w:val="32"/>
          <w:szCs w:val="32"/>
          <w14:ligatures w14:val="none"/>
        </w:rPr>
        <w:t>.</w:t>
      </w:r>
    </w:p>
    <w:p w14:paraId="37821161" w14:textId="77777777" w:rsidR="00326DB9" w:rsidRPr="00031128"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031128">
        <w:rPr>
          <w:rFonts w:ascii="Traditional Arabic" w:eastAsia="Times New Roman" w:hAnsi="Traditional Arabic" w:cs="Traditional Arabic"/>
          <w:kern w:val="0"/>
          <w:sz w:val="32"/>
          <w:szCs w:val="32"/>
          <w14:ligatures w14:val="none"/>
        </w:rPr>
        <w:t>2</w:t>
      </w:r>
      <w:r w:rsidRPr="00031128">
        <w:rPr>
          <w:rFonts w:ascii="Traditional Arabic" w:eastAsia="Times New Roman" w:hAnsi="Traditional Arabic" w:cs="Traditional Arabic"/>
          <w:kern w:val="0"/>
          <w:sz w:val="32"/>
          <w:szCs w:val="32"/>
          <w:rtl/>
          <w14:ligatures w14:val="none"/>
        </w:rPr>
        <w:t>-</w:t>
      </w:r>
      <w:r w:rsidRPr="00031128">
        <w:rPr>
          <w:rFonts w:ascii="Traditional Arabic" w:eastAsia="Times New Roman" w:hAnsi="Traditional Arabic" w:cs="Traditional Arabic"/>
          <w:kern w:val="0"/>
          <w:sz w:val="32"/>
          <w:szCs w:val="32"/>
          <w14:ligatures w14:val="none"/>
        </w:rPr>
        <w:t xml:space="preserve"> </w:t>
      </w:r>
      <w:r w:rsidRPr="00031128">
        <w:rPr>
          <w:rFonts w:ascii="Traditional Arabic" w:eastAsia="Times New Roman" w:hAnsi="Traditional Arabic" w:cs="Traditional Arabic"/>
          <w:kern w:val="0"/>
          <w:sz w:val="32"/>
          <w:szCs w:val="32"/>
          <w:rtl/>
          <w14:ligatures w14:val="none"/>
        </w:rPr>
        <w:t>تحديد المنتجات الائتمانية: اختيار المنتج الأنسب (قرض شخصي، تمويل استثماري…) بما يتماشى مع درجة المخاطرة</w:t>
      </w:r>
      <w:r w:rsidRPr="00031128">
        <w:rPr>
          <w:rFonts w:ascii="Traditional Arabic" w:eastAsia="Times New Roman" w:hAnsi="Traditional Arabic" w:cs="Traditional Arabic"/>
          <w:kern w:val="0"/>
          <w:sz w:val="32"/>
          <w:szCs w:val="32"/>
          <w14:ligatures w14:val="none"/>
        </w:rPr>
        <w:t>.</w:t>
      </w:r>
    </w:p>
    <w:p w14:paraId="13E18F55" w14:textId="77777777" w:rsidR="00326DB9" w:rsidRPr="00031128"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031128">
        <w:rPr>
          <w:rFonts w:ascii="Traditional Arabic" w:eastAsia="Times New Roman" w:hAnsi="Traditional Arabic" w:cs="Traditional Arabic"/>
          <w:kern w:val="0"/>
          <w:sz w:val="32"/>
          <w:szCs w:val="32"/>
          <w14:ligatures w14:val="none"/>
        </w:rPr>
        <w:t>3</w:t>
      </w:r>
      <w:r w:rsidRPr="00031128">
        <w:rPr>
          <w:rFonts w:ascii="Traditional Arabic" w:eastAsia="Times New Roman" w:hAnsi="Traditional Arabic" w:cs="Traditional Arabic"/>
          <w:kern w:val="0"/>
          <w:sz w:val="32"/>
          <w:szCs w:val="32"/>
          <w:rtl/>
          <w14:ligatures w14:val="none"/>
        </w:rPr>
        <w:t>-</w:t>
      </w:r>
      <w:r w:rsidRPr="00031128">
        <w:rPr>
          <w:rFonts w:ascii="Traditional Arabic" w:eastAsia="Times New Roman" w:hAnsi="Traditional Arabic" w:cs="Traditional Arabic"/>
          <w:kern w:val="0"/>
          <w:sz w:val="32"/>
          <w:szCs w:val="32"/>
          <w14:ligatures w14:val="none"/>
        </w:rPr>
        <w:t xml:space="preserve"> </w:t>
      </w:r>
      <w:r w:rsidRPr="00031128">
        <w:rPr>
          <w:rFonts w:ascii="Traditional Arabic" w:eastAsia="Times New Roman" w:hAnsi="Traditional Arabic" w:cs="Traditional Arabic"/>
          <w:kern w:val="0"/>
          <w:sz w:val="32"/>
          <w:szCs w:val="32"/>
          <w:rtl/>
          <w14:ligatures w14:val="none"/>
        </w:rPr>
        <w:t>قرارات التسعير: تسعير الفوائد أو العوائد الائتمانية بما يعكس مستوى المخاطر</w:t>
      </w:r>
      <w:r w:rsidRPr="00031128">
        <w:rPr>
          <w:rFonts w:ascii="Traditional Arabic" w:eastAsia="Times New Roman" w:hAnsi="Traditional Arabic" w:cs="Traditional Arabic"/>
          <w:kern w:val="0"/>
          <w:sz w:val="32"/>
          <w:szCs w:val="32"/>
          <w14:ligatures w14:val="none"/>
        </w:rPr>
        <w:t>.</w:t>
      </w:r>
    </w:p>
    <w:p w14:paraId="4F44623B" w14:textId="77777777" w:rsidR="00326DB9" w:rsidRPr="00031128"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031128">
        <w:rPr>
          <w:rFonts w:ascii="Traditional Arabic" w:eastAsia="Times New Roman" w:hAnsi="Traditional Arabic" w:cs="Traditional Arabic"/>
          <w:kern w:val="0"/>
          <w:sz w:val="32"/>
          <w:szCs w:val="32"/>
          <w:rtl/>
          <w14:ligatures w14:val="none"/>
        </w:rPr>
        <w:t>4-تخصيص رأس المال: توجيه الموارد المالية لدعم المنتجات أو العملاء وفق مستوى المخاطرة</w:t>
      </w:r>
      <w:r w:rsidRPr="00031128">
        <w:rPr>
          <w:rFonts w:ascii="Traditional Arabic" w:eastAsia="Times New Roman" w:hAnsi="Traditional Arabic" w:cs="Traditional Arabic"/>
          <w:kern w:val="0"/>
          <w:sz w:val="32"/>
          <w:szCs w:val="32"/>
          <w14:ligatures w14:val="none"/>
        </w:rPr>
        <w:t>.</w:t>
      </w:r>
    </w:p>
    <w:p w14:paraId="0D794DAC" w14:textId="77777777" w:rsidR="00326DB9" w:rsidRPr="00031128"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031128">
        <w:rPr>
          <w:rFonts w:ascii="Traditional Arabic" w:eastAsia="Times New Roman" w:hAnsi="Traditional Arabic" w:cs="Traditional Arabic"/>
          <w:kern w:val="0"/>
          <w:sz w:val="32"/>
          <w:szCs w:val="32"/>
          <w:rtl/>
          <w14:ligatures w14:val="none"/>
        </w:rPr>
        <w:t>5-</w:t>
      </w:r>
      <w:r w:rsidRPr="00031128">
        <w:rPr>
          <w:rFonts w:ascii="Traditional Arabic" w:eastAsia="Times New Roman" w:hAnsi="Traditional Arabic" w:cs="Traditional Arabic"/>
          <w:kern w:val="0"/>
          <w:sz w:val="32"/>
          <w:szCs w:val="32"/>
          <w14:ligatures w14:val="none"/>
        </w:rPr>
        <w:t xml:space="preserve"> </w:t>
      </w:r>
      <w:r w:rsidRPr="00031128">
        <w:rPr>
          <w:rFonts w:ascii="Traditional Arabic" w:eastAsia="Times New Roman" w:hAnsi="Traditional Arabic" w:cs="Traditional Arabic"/>
          <w:kern w:val="0"/>
          <w:sz w:val="32"/>
          <w:szCs w:val="32"/>
          <w:rtl/>
          <w14:ligatures w14:val="none"/>
        </w:rPr>
        <w:t>إدارة أو رفض الطلبات: اتخاذ قرار نهائي بالقبول أو الرفض بعد التقييم الائتماني</w:t>
      </w:r>
      <w:r w:rsidRPr="00031128">
        <w:rPr>
          <w:rFonts w:ascii="Traditional Arabic" w:eastAsia="Times New Roman" w:hAnsi="Traditional Arabic" w:cs="Traditional Arabic"/>
          <w:kern w:val="0"/>
          <w:sz w:val="32"/>
          <w:szCs w:val="32"/>
          <w14:ligatures w14:val="none"/>
        </w:rPr>
        <w:t>.</w:t>
      </w:r>
    </w:p>
    <w:p w14:paraId="01A589F8" w14:textId="77777777" w:rsidR="00326DB9" w:rsidRPr="00031128"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031128">
        <w:rPr>
          <w:rFonts w:ascii="Traditional Arabic" w:eastAsia="Times New Roman" w:hAnsi="Traditional Arabic" w:cs="Traditional Arabic"/>
          <w:kern w:val="0"/>
          <w:sz w:val="32"/>
          <w:szCs w:val="32"/>
          <w:rtl/>
          <w14:ligatures w14:val="none"/>
        </w:rPr>
        <w:t>6-</w:t>
      </w:r>
      <w:r w:rsidRPr="00031128">
        <w:rPr>
          <w:rFonts w:ascii="Traditional Arabic" w:eastAsia="Times New Roman" w:hAnsi="Traditional Arabic" w:cs="Traditional Arabic"/>
          <w:kern w:val="0"/>
          <w:sz w:val="32"/>
          <w:szCs w:val="32"/>
          <w14:ligatures w14:val="none"/>
        </w:rPr>
        <w:t xml:space="preserve"> </w:t>
      </w:r>
      <w:r w:rsidRPr="00031128">
        <w:rPr>
          <w:rFonts w:ascii="Traditional Arabic" w:eastAsia="Times New Roman" w:hAnsi="Traditional Arabic" w:cs="Traditional Arabic"/>
          <w:kern w:val="0"/>
          <w:sz w:val="32"/>
          <w:szCs w:val="32"/>
          <w:rtl/>
          <w14:ligatures w14:val="none"/>
        </w:rPr>
        <w:t>إدارة المحافظ الائتمانية</w:t>
      </w:r>
    </w:p>
    <w:p w14:paraId="46AA9156" w14:textId="77777777" w:rsidR="00326DB9" w:rsidRPr="00031128" w:rsidRDefault="00326DB9" w:rsidP="00D132F3">
      <w:pPr>
        <w:bidi/>
        <w:spacing w:after="0" w:line="240" w:lineRule="auto"/>
        <w:jc w:val="lowKashida"/>
        <w:rPr>
          <w:rFonts w:ascii="Traditional Arabic" w:eastAsia="Times New Roman" w:hAnsi="Traditional Arabic" w:cs="Traditional Arabic"/>
          <w:kern w:val="0"/>
          <w:sz w:val="32"/>
          <w:szCs w:val="32"/>
          <w14:ligatures w14:val="none"/>
        </w:rPr>
      </w:pPr>
      <w:r w:rsidRPr="00031128">
        <w:rPr>
          <w:rFonts w:ascii="Traditional Arabic" w:eastAsia="Times New Roman" w:hAnsi="Traditional Arabic" w:cs="Traditional Arabic"/>
          <w:kern w:val="0"/>
          <w:sz w:val="32"/>
          <w:szCs w:val="32"/>
          <w:rtl/>
          <w14:ligatures w14:val="none"/>
        </w:rPr>
        <w:t>7-</w:t>
      </w:r>
      <w:r w:rsidRPr="00031128">
        <w:rPr>
          <w:rFonts w:ascii="Traditional Arabic" w:eastAsia="Times New Roman" w:hAnsi="Traditional Arabic" w:cs="Traditional Arabic"/>
          <w:kern w:val="0"/>
          <w:sz w:val="32"/>
          <w:szCs w:val="32"/>
          <w14:ligatures w14:val="none"/>
        </w:rPr>
        <w:t xml:space="preserve"> </w:t>
      </w:r>
      <w:r w:rsidRPr="00031128">
        <w:rPr>
          <w:rFonts w:ascii="Traditional Arabic" w:eastAsia="Times New Roman" w:hAnsi="Traditional Arabic" w:cs="Traditional Arabic"/>
          <w:kern w:val="0"/>
          <w:sz w:val="32"/>
          <w:szCs w:val="32"/>
          <w:rtl/>
          <w14:ligatures w14:val="none"/>
        </w:rPr>
        <w:t>تخصيص الموارد: توزيع الموارد البشرية والتقنية بما يخدم كفاءة عملية إدارة الائتمان</w:t>
      </w:r>
      <w:r w:rsidRPr="00031128">
        <w:rPr>
          <w:rFonts w:ascii="Traditional Arabic" w:eastAsia="Times New Roman" w:hAnsi="Traditional Arabic" w:cs="Traditional Arabic"/>
          <w:kern w:val="0"/>
          <w:sz w:val="32"/>
          <w:szCs w:val="32"/>
          <w14:ligatures w14:val="none"/>
        </w:rPr>
        <w:t>.</w:t>
      </w:r>
    </w:p>
    <w:p w14:paraId="18966A76" w14:textId="77777777" w:rsidR="00326DB9" w:rsidRPr="00031128"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sidRPr="00031128">
        <w:rPr>
          <w:rFonts w:ascii="Traditional Arabic" w:eastAsia="Times New Roman" w:hAnsi="Traditional Arabic" w:cs="Traditional Arabic"/>
          <w:kern w:val="0"/>
          <w:sz w:val="32"/>
          <w:szCs w:val="32"/>
          <w:rtl/>
          <w14:ligatures w14:val="none"/>
        </w:rPr>
        <w:t>8-</w:t>
      </w:r>
      <w:r w:rsidRPr="00031128">
        <w:rPr>
          <w:rFonts w:ascii="Traditional Arabic" w:eastAsia="Times New Roman" w:hAnsi="Traditional Arabic" w:cs="Traditional Arabic"/>
          <w:kern w:val="0"/>
          <w:sz w:val="32"/>
          <w:szCs w:val="32"/>
          <w14:ligatures w14:val="none"/>
        </w:rPr>
        <w:t xml:space="preserve"> </w:t>
      </w:r>
      <w:r w:rsidRPr="00031128">
        <w:rPr>
          <w:rFonts w:ascii="Traditional Arabic" w:eastAsia="Times New Roman" w:hAnsi="Traditional Arabic" w:cs="Traditional Arabic"/>
          <w:kern w:val="0"/>
          <w:sz w:val="32"/>
          <w:szCs w:val="32"/>
          <w:rtl/>
          <w14:ligatures w14:val="none"/>
        </w:rPr>
        <w:t>الامتثال والحوكمة: الالتزام بالأنظمة والقوانين واللوائح الرقابية للحفاظ على استدامة واستقرار القرارات الائتمانية</w:t>
      </w:r>
      <w:r w:rsidRPr="00031128">
        <w:rPr>
          <w:rFonts w:ascii="Traditional Arabic" w:eastAsia="Times New Roman" w:hAnsi="Traditional Arabic" w:cs="Traditional Arabic"/>
          <w:kern w:val="0"/>
          <w:sz w:val="32"/>
          <w:szCs w:val="32"/>
          <w14:ligatures w14:val="none"/>
        </w:rPr>
        <w:t>.</w:t>
      </w:r>
    </w:p>
    <w:p w14:paraId="5D7EE41E" w14:textId="374FF857" w:rsidR="00326DB9" w:rsidRDefault="00326DB9" w:rsidP="00D132F3">
      <w:pPr>
        <w:bidi/>
        <w:spacing w:after="0" w:line="240" w:lineRule="auto"/>
        <w:jc w:val="lowKashida"/>
        <w:rPr>
          <w:rFonts w:ascii="Roboto" w:hAnsi="Roboto"/>
          <w:color w:val="252525"/>
          <w:sz w:val="27"/>
          <w:szCs w:val="27"/>
          <w:shd w:val="clear" w:color="auto" w:fill="FFFFFF"/>
          <w:rtl/>
        </w:rPr>
      </w:pPr>
      <w:r>
        <w:rPr>
          <w:rFonts w:ascii="Roboto" w:hAnsi="Roboto" w:hint="cs"/>
          <w:color w:val="252525"/>
          <w:sz w:val="27"/>
          <w:szCs w:val="27"/>
          <w:shd w:val="clear" w:color="auto" w:fill="FFFFFF"/>
          <w:rtl/>
        </w:rPr>
        <w:t>(</w:t>
      </w:r>
      <w:r>
        <w:rPr>
          <w:rFonts w:ascii="Roboto" w:hAnsi="Roboto"/>
          <w:color w:val="252525"/>
          <w:sz w:val="27"/>
          <w:szCs w:val="27"/>
          <w:shd w:val="clear" w:color="auto" w:fill="FFFFFF"/>
          <w:rtl/>
        </w:rPr>
        <w:t xml:space="preserve">الرشيد، م. أ.، والحسيني، أ. س. </w:t>
      </w:r>
      <w:r w:rsidRPr="00407D7B">
        <w:rPr>
          <w:rFonts w:ascii="Garamond" w:hAnsi="Garamond"/>
          <w:color w:val="252525"/>
          <w:shd w:val="clear" w:color="auto" w:fill="FFFFFF"/>
          <w:rtl/>
        </w:rPr>
        <w:t>(2023).</w:t>
      </w:r>
    </w:p>
    <w:p w14:paraId="11F6F1B5" w14:textId="77777777" w:rsidR="00E64BC2" w:rsidRDefault="00E64BC2" w:rsidP="00E64BC2">
      <w:pPr>
        <w:bidi/>
        <w:spacing w:after="0" w:line="240" w:lineRule="auto"/>
        <w:jc w:val="lowKashida"/>
        <w:rPr>
          <w:rFonts w:ascii="Roboto" w:hAnsi="Roboto"/>
          <w:color w:val="252525"/>
          <w:sz w:val="27"/>
          <w:szCs w:val="27"/>
          <w:shd w:val="clear" w:color="auto" w:fill="FFFFFF"/>
          <w:rtl/>
        </w:rPr>
      </w:pPr>
    </w:p>
    <w:p w14:paraId="68023607" w14:textId="77777777" w:rsidR="00326DB9" w:rsidRPr="00E87348" w:rsidRDefault="00326DB9" w:rsidP="00D132F3">
      <w:pPr>
        <w:bidi/>
        <w:spacing w:after="0" w:line="240" w:lineRule="auto"/>
        <w:jc w:val="lowKashida"/>
        <w:rPr>
          <w:rFonts w:ascii="Traditional Arabic" w:hAnsi="Traditional Arabic" w:cs="Traditional Arabic"/>
          <w:b/>
          <w:bCs/>
          <w:color w:val="252525"/>
          <w:sz w:val="36"/>
          <w:szCs w:val="36"/>
          <w:shd w:val="clear" w:color="auto" w:fill="FFFFFF"/>
          <w:rtl/>
        </w:rPr>
      </w:pPr>
      <w:r w:rsidRPr="00E87348">
        <w:rPr>
          <w:rFonts w:ascii="Traditional Arabic" w:hAnsi="Traditional Arabic" w:cs="Traditional Arabic"/>
          <w:b/>
          <w:bCs/>
          <w:sz w:val="36"/>
          <w:szCs w:val="36"/>
          <w:rtl/>
        </w:rPr>
        <w:t>أثر المخاطر الائتمانية على عملية اتخاذ القرارات الائتمانية</w:t>
      </w:r>
    </w:p>
    <w:p w14:paraId="37DF904C" w14:textId="77777777" w:rsidR="00326DB9" w:rsidRDefault="00326DB9" w:rsidP="00D132F3">
      <w:pPr>
        <w:bidi/>
        <w:spacing w:after="0" w:line="240" w:lineRule="auto"/>
        <w:jc w:val="lowKashida"/>
        <w:rPr>
          <w:rFonts w:ascii="Traditional Arabic" w:hAnsi="Traditional Arabic" w:cs="Traditional Arabic"/>
          <w:sz w:val="32"/>
          <w:szCs w:val="32"/>
          <w:rtl/>
        </w:rPr>
      </w:pPr>
      <w:r>
        <w:rPr>
          <w:rFonts w:ascii="Traditional Arabic" w:hAnsi="Traditional Arabic" w:cs="Traditional Arabic"/>
          <w:noProof/>
          <w:sz w:val="32"/>
          <w:szCs w:val="32"/>
        </w:rPr>
        <w:lastRenderedPageBreak/>
        <w:drawing>
          <wp:inline distT="0" distB="0" distL="0" distR="0" wp14:anchorId="08E34190" wp14:editId="2F9C72E6">
            <wp:extent cx="5944235" cy="3105150"/>
            <wp:effectExtent l="0" t="0" r="0" b="0"/>
            <wp:docPr id="2119894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4235" cy="3105150"/>
                    </a:xfrm>
                    <a:prstGeom prst="rect">
                      <a:avLst/>
                    </a:prstGeom>
                    <a:noFill/>
                  </pic:spPr>
                </pic:pic>
              </a:graphicData>
            </a:graphic>
          </wp:inline>
        </w:drawing>
      </w:r>
    </w:p>
    <w:p w14:paraId="16AF80B7" w14:textId="77777777" w:rsidR="00326DB9" w:rsidRDefault="00326DB9" w:rsidP="00D132F3">
      <w:pPr>
        <w:bidi/>
        <w:spacing w:after="0" w:line="240" w:lineRule="auto"/>
        <w:jc w:val="lowKashida"/>
        <w:rPr>
          <w:rFonts w:ascii="Traditional Arabic" w:hAnsi="Traditional Arabic" w:cs="Traditional Arabic"/>
          <w:sz w:val="32"/>
          <w:szCs w:val="32"/>
        </w:rPr>
      </w:pPr>
    </w:p>
    <w:p w14:paraId="65E99C6F" w14:textId="77777777" w:rsidR="00326DB9" w:rsidRDefault="00326DB9" w:rsidP="00D132F3">
      <w:pPr>
        <w:bidi/>
        <w:spacing w:after="0" w:line="240" w:lineRule="auto"/>
        <w:jc w:val="lowKashida"/>
        <w:rPr>
          <w:rFonts w:ascii="Traditional Arabic" w:hAnsi="Traditional Arabic" w:cs="Traditional Arabic"/>
          <w:sz w:val="32"/>
          <w:szCs w:val="32"/>
        </w:rPr>
      </w:pPr>
      <w:r w:rsidRPr="00AE494D">
        <w:rPr>
          <w:rFonts w:ascii="Traditional Arabic" w:hAnsi="Traditional Arabic" w:cs="Traditional Arabic" w:hint="cs"/>
          <w:b/>
          <w:bCs/>
          <w:sz w:val="32"/>
          <w:szCs w:val="32"/>
          <w:rtl/>
        </w:rPr>
        <w:t xml:space="preserve">الشكل رقم </w:t>
      </w:r>
      <w:r w:rsidRPr="00AE494D">
        <w:rPr>
          <w:rFonts w:ascii="Traditional Arabic" w:hAnsi="Traditional Arabic" w:cs="Traditional Arabic"/>
          <w:b/>
          <w:bCs/>
          <w:sz w:val="32"/>
          <w:szCs w:val="32"/>
          <w:rtl/>
        </w:rPr>
        <w:t>(</w:t>
      </w:r>
      <w:r w:rsidRPr="00AE494D">
        <w:rPr>
          <w:rFonts w:ascii="Traditional Arabic" w:hAnsi="Traditional Arabic" w:cs="Traditional Arabic" w:hint="cs"/>
          <w:b/>
          <w:bCs/>
          <w:sz w:val="32"/>
          <w:szCs w:val="32"/>
          <w:rtl/>
        </w:rPr>
        <w:t xml:space="preserve">3) يضح </w:t>
      </w:r>
      <w:r w:rsidRPr="00AE494D">
        <w:rPr>
          <w:rFonts w:ascii="Traditional Arabic" w:hAnsi="Traditional Arabic" w:cs="Traditional Arabic"/>
          <w:b/>
          <w:bCs/>
          <w:sz w:val="32"/>
          <w:szCs w:val="32"/>
          <w:rtl/>
        </w:rPr>
        <w:t>المخاطر الائتمانية على عملية اتخاذ القرارات الائتمانية</w:t>
      </w:r>
      <w:r>
        <w:rPr>
          <w:rFonts w:ascii="Traditional Arabic" w:hAnsi="Traditional Arabic" w:cs="Traditional Arabic" w:hint="cs"/>
          <w:sz w:val="32"/>
          <w:szCs w:val="32"/>
          <w:rtl/>
        </w:rPr>
        <w:t>.</w:t>
      </w:r>
    </w:p>
    <w:p w14:paraId="7AEE68C5" w14:textId="09A295CD" w:rsidR="00E64BC2" w:rsidRDefault="00E64BC2" w:rsidP="00E64BC2">
      <w:pPr>
        <w:bidi/>
        <w:spacing w:after="0" w:line="240" w:lineRule="auto"/>
        <w:jc w:val="lowKashida"/>
        <w:rPr>
          <w:rFonts w:ascii="Traditional Arabic" w:hAnsi="Traditional Arabic" w:cs="Traditional Arabic"/>
          <w:sz w:val="32"/>
          <w:szCs w:val="32"/>
          <w:rtl/>
        </w:rPr>
      </w:pPr>
    </w:p>
    <w:p w14:paraId="699FECE5" w14:textId="77777777" w:rsidR="00E64BC2" w:rsidRPr="00B72158" w:rsidRDefault="00E64BC2" w:rsidP="00E64BC2">
      <w:pPr>
        <w:bidi/>
        <w:spacing w:after="0" w:line="240" w:lineRule="auto"/>
        <w:jc w:val="lowKashida"/>
        <w:rPr>
          <w:rFonts w:ascii="Traditional Arabic" w:hAnsi="Traditional Arabic" w:cs="Traditional Arabic"/>
          <w:sz w:val="32"/>
          <w:szCs w:val="32"/>
        </w:rPr>
      </w:pPr>
    </w:p>
    <w:p w14:paraId="0D03EE61" w14:textId="77777777" w:rsidR="00326DB9" w:rsidRPr="00114A0C" w:rsidRDefault="00326DB9" w:rsidP="00D132F3">
      <w:pPr>
        <w:bidi/>
        <w:spacing w:after="0" w:line="240" w:lineRule="auto"/>
        <w:jc w:val="lowKashida"/>
        <w:rPr>
          <w:rFonts w:ascii="Traditional Arabic" w:hAnsi="Traditional Arabic" w:cs="Traditional Arabic"/>
          <w:b/>
          <w:bCs/>
          <w:sz w:val="44"/>
          <w:szCs w:val="44"/>
        </w:rPr>
      </w:pPr>
      <w:r w:rsidRPr="00114A0C">
        <w:rPr>
          <w:rFonts w:ascii="Traditional Arabic" w:hAnsi="Traditional Arabic" w:cs="Traditional Arabic" w:hint="cs"/>
          <w:b/>
          <w:bCs/>
          <w:sz w:val="44"/>
          <w:szCs w:val="44"/>
          <w:rtl/>
        </w:rPr>
        <w:t>أنظمة المخاطر الائتمانية</w:t>
      </w:r>
    </w:p>
    <w:p w14:paraId="6ADCAE37" w14:textId="77777777" w:rsidR="00326DB9" w:rsidRDefault="00326DB9" w:rsidP="00D132F3">
      <w:pPr>
        <w:bidi/>
        <w:spacing w:after="0" w:line="240" w:lineRule="auto"/>
        <w:jc w:val="lowKashida"/>
        <w:rPr>
          <w:rFonts w:ascii="Traditional Arabic" w:hAnsi="Traditional Arabic" w:cs="Traditional Arabic"/>
          <w:sz w:val="32"/>
          <w:szCs w:val="32"/>
        </w:rPr>
      </w:pPr>
      <w:r>
        <w:rPr>
          <w:noProof/>
        </w:rPr>
        <w:lastRenderedPageBreak/>
        <w:drawing>
          <wp:inline distT="0" distB="0" distL="0" distR="0" wp14:anchorId="4F7C9512" wp14:editId="796FA2E3">
            <wp:extent cx="6310087" cy="5617773"/>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8566" cy="5687642"/>
                    </a:xfrm>
                    <a:prstGeom prst="rect">
                      <a:avLst/>
                    </a:prstGeom>
                    <a:noFill/>
                    <a:ln>
                      <a:noFill/>
                    </a:ln>
                  </pic:spPr>
                </pic:pic>
              </a:graphicData>
            </a:graphic>
          </wp:inline>
        </w:drawing>
      </w:r>
    </w:p>
    <w:p w14:paraId="2F146FEA" w14:textId="77777777" w:rsidR="00326DB9" w:rsidRDefault="00326DB9" w:rsidP="00D132F3">
      <w:pPr>
        <w:bidi/>
        <w:spacing w:after="0" w:line="240" w:lineRule="auto"/>
        <w:jc w:val="lowKashida"/>
        <w:rPr>
          <w:rFonts w:ascii="Traditional Arabic" w:hAnsi="Traditional Arabic" w:cs="Traditional Arabic"/>
          <w:sz w:val="32"/>
          <w:szCs w:val="32"/>
        </w:rPr>
      </w:pPr>
      <w:bookmarkStart w:id="10" w:name="_Hlk209910129"/>
      <w:r>
        <w:rPr>
          <w:rFonts w:hint="cs"/>
          <w:rtl/>
        </w:rPr>
        <w:t>(</w:t>
      </w:r>
      <w:r>
        <w:rPr>
          <w:rtl/>
        </w:rPr>
        <w:t xml:space="preserve">سوندرز، أ.، </w:t>
      </w:r>
      <w:r>
        <w:rPr>
          <w:rFonts w:hint="cs"/>
          <w:rtl/>
        </w:rPr>
        <w:t xml:space="preserve">وألين، </w:t>
      </w:r>
      <w:r w:rsidRPr="00E308F2">
        <w:rPr>
          <w:i/>
          <w:iCs/>
        </w:rPr>
        <w:t>(</w:t>
      </w:r>
      <w:r w:rsidRPr="00E308F2">
        <w:t>2022</w:t>
      </w:r>
      <w:r>
        <w:rPr>
          <w:rFonts w:hint="cs"/>
          <w:i/>
          <w:iCs/>
          <w:rtl/>
        </w:rPr>
        <w:t xml:space="preserve"> </w:t>
      </w:r>
      <w:r w:rsidRPr="00E308F2">
        <w:rPr>
          <w:i/>
          <w:iCs/>
        </w:rPr>
        <w:t xml:space="preserve"> </w:t>
      </w:r>
      <w:bookmarkEnd w:id="10"/>
    </w:p>
    <w:p w14:paraId="3E162845" w14:textId="77777777" w:rsidR="00326DB9" w:rsidRPr="00FD4BC6" w:rsidRDefault="00326DB9" w:rsidP="00D132F3">
      <w:pPr>
        <w:bidi/>
        <w:spacing w:after="0" w:line="240" w:lineRule="auto"/>
        <w:jc w:val="lowKashida"/>
        <w:rPr>
          <w:rFonts w:ascii="Traditional Arabic" w:hAnsi="Traditional Arabic" w:cs="Traditional Arabic"/>
          <w:b/>
          <w:bCs/>
          <w:sz w:val="32"/>
          <w:szCs w:val="32"/>
        </w:rPr>
      </w:pPr>
      <w:r w:rsidRPr="00FD4BC6">
        <w:rPr>
          <w:rFonts w:ascii="Traditional Arabic" w:hAnsi="Traditional Arabic" w:cs="Traditional Arabic" w:hint="cs"/>
          <w:b/>
          <w:bCs/>
          <w:sz w:val="32"/>
          <w:szCs w:val="32"/>
          <w:rtl/>
        </w:rPr>
        <w:t xml:space="preserve">الشكل رقم (4) يوضح </w:t>
      </w:r>
      <w:r w:rsidRPr="00FD4BC6">
        <w:rPr>
          <w:rFonts w:ascii="Traditional Arabic" w:hAnsi="Traditional Arabic" w:cs="Traditional Arabic"/>
          <w:b/>
          <w:bCs/>
          <w:sz w:val="32"/>
          <w:szCs w:val="32"/>
          <w:rtl/>
        </w:rPr>
        <w:t>أنظمة المخاطر الائتمانية</w:t>
      </w:r>
    </w:p>
    <w:p w14:paraId="7313A4BF" w14:textId="77777777" w:rsidR="00326DB9" w:rsidRDefault="00326DB9" w:rsidP="00D132F3">
      <w:pPr>
        <w:bidi/>
        <w:spacing w:after="0" w:line="240" w:lineRule="auto"/>
        <w:jc w:val="lowKashida"/>
        <w:rPr>
          <w:rFonts w:ascii="Traditional Arabic" w:hAnsi="Traditional Arabic" w:cs="Traditional Arabic"/>
          <w:sz w:val="32"/>
          <w:szCs w:val="32"/>
        </w:rPr>
      </w:pPr>
    </w:p>
    <w:p w14:paraId="53A430BE" w14:textId="77777777" w:rsidR="00326DB9" w:rsidRPr="001C11DA" w:rsidRDefault="00326DB9" w:rsidP="00D132F3">
      <w:pPr>
        <w:bidi/>
        <w:spacing w:after="0" w:line="240" w:lineRule="auto"/>
        <w:jc w:val="lowKashida"/>
        <w:rPr>
          <w:rFonts w:ascii="Garamond" w:hAnsi="Garamond" w:cs="Traditional Arabic"/>
          <w:sz w:val="32"/>
          <w:szCs w:val="32"/>
        </w:rPr>
      </w:pPr>
      <w:r w:rsidRPr="00E811DD">
        <w:rPr>
          <w:rFonts w:ascii="Traditional Arabic" w:hAnsi="Traditional Arabic" w:cs="Traditional Arabic"/>
          <w:noProof/>
          <w:sz w:val="32"/>
          <w:szCs w:val="32"/>
          <w:rtl/>
        </w:rPr>
        <w:lastRenderedPageBreak/>
        <w:drawing>
          <wp:anchor distT="0" distB="0" distL="114300" distR="114300" simplePos="0" relativeHeight="251661312" behindDoc="1" locked="0" layoutInCell="1" allowOverlap="1" wp14:anchorId="4AC8C604" wp14:editId="43842D8A">
            <wp:simplePos x="0" y="0"/>
            <wp:positionH relativeFrom="column">
              <wp:posOffset>0</wp:posOffset>
            </wp:positionH>
            <wp:positionV relativeFrom="paragraph">
              <wp:posOffset>481035</wp:posOffset>
            </wp:positionV>
            <wp:extent cx="5943600" cy="4497070"/>
            <wp:effectExtent l="0" t="0" r="0" b="0"/>
            <wp:wrapTight wrapText="bothSides">
              <wp:wrapPolygon edited="0">
                <wp:start x="0" y="0"/>
                <wp:lineTo x="0" y="21502"/>
                <wp:lineTo x="21531" y="21502"/>
                <wp:lineTo x="21531" y="0"/>
                <wp:lineTo x="0" y="0"/>
              </wp:wrapPolygon>
            </wp:wrapTight>
            <wp:docPr id="21369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9848"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497070"/>
                    </a:xfrm>
                    <a:prstGeom prst="rect">
                      <a:avLst/>
                    </a:prstGeom>
                  </pic:spPr>
                </pic:pic>
              </a:graphicData>
            </a:graphic>
          </wp:anchor>
        </w:drawing>
      </w:r>
    </w:p>
    <w:p w14:paraId="5CEEBE84" w14:textId="220872B6" w:rsidR="00326DB9" w:rsidRPr="00424A57" w:rsidRDefault="00326DB9" w:rsidP="00D132F3">
      <w:pPr>
        <w:pStyle w:val="whitespace-normal"/>
        <w:spacing w:before="0" w:beforeAutospacing="0" w:after="0" w:afterAutospacing="0"/>
        <w:jc w:val="lowKashida"/>
      </w:pPr>
      <w:r w:rsidRPr="001C11DA">
        <w:rPr>
          <w:rFonts w:ascii="Garamond" w:hAnsi="Garamond" w:cs="Traditional Arabic"/>
          <w:sz w:val="32"/>
          <w:szCs w:val="32"/>
          <w:rtl/>
        </w:rPr>
        <w:t>)</w:t>
      </w:r>
      <w:r w:rsidRPr="001C11DA">
        <w:rPr>
          <w:rFonts w:ascii="Garamond" w:hAnsi="Garamond"/>
        </w:rPr>
        <w:t xml:space="preserve">Hull, J. C. (2018). </w:t>
      </w:r>
      <w:r w:rsidRPr="001C11DA">
        <w:rPr>
          <w:rFonts w:ascii="Garamond" w:hAnsi="Garamond"/>
          <w:i/>
          <w:iCs/>
        </w:rPr>
        <w:t>Risk Management</w:t>
      </w:r>
      <w:r w:rsidRPr="001C11DA">
        <w:rPr>
          <w:rFonts w:ascii="Garamond" w:hAnsi="Garamond"/>
        </w:rPr>
        <w:t xml:space="preserve"> (5th ed.). Hoboken, NJ: Wiley.</w:t>
      </w:r>
      <w:r>
        <w:rPr>
          <w:rFonts w:hint="cs"/>
          <w:rtl/>
        </w:rPr>
        <w:t xml:space="preserve"> </w:t>
      </w:r>
      <w:r>
        <w:rPr>
          <w:rtl/>
        </w:rPr>
        <w:t>(</w:t>
      </w:r>
    </w:p>
    <w:p w14:paraId="4E0FB175" w14:textId="77777777" w:rsidR="00326DB9" w:rsidRPr="009452BD" w:rsidRDefault="00326DB9" w:rsidP="00D132F3">
      <w:pPr>
        <w:bidi/>
        <w:spacing w:after="0" w:line="240" w:lineRule="auto"/>
        <w:jc w:val="lowKashida"/>
        <w:rPr>
          <w:rFonts w:ascii="Traditional Arabic" w:hAnsi="Traditional Arabic" w:cs="Traditional Arabic"/>
          <w:b/>
          <w:bCs/>
          <w:sz w:val="32"/>
          <w:szCs w:val="32"/>
        </w:rPr>
      </w:pPr>
      <w:r w:rsidRPr="009452BD">
        <w:rPr>
          <w:rFonts w:ascii="Traditional Arabic" w:hAnsi="Traditional Arabic" w:cs="Traditional Arabic" w:hint="cs"/>
          <w:b/>
          <w:bCs/>
          <w:sz w:val="32"/>
          <w:szCs w:val="32"/>
          <w:rtl/>
        </w:rPr>
        <w:t>هذا الشكل رقم (5) يوضح إدارة المخاطر الائتمانية.</w:t>
      </w:r>
    </w:p>
    <w:p w14:paraId="4B17B7BC" w14:textId="77777777" w:rsidR="00326DB9" w:rsidRDefault="00326DB9" w:rsidP="00D132F3">
      <w:pPr>
        <w:bidi/>
        <w:spacing w:after="0" w:line="240" w:lineRule="auto"/>
        <w:jc w:val="lowKashida"/>
        <w:rPr>
          <w:rFonts w:ascii="Traditional Arabic" w:hAnsi="Traditional Arabic" w:cs="Traditional Arabic"/>
          <w:sz w:val="32"/>
          <w:szCs w:val="32"/>
        </w:rPr>
      </w:pPr>
    </w:p>
    <w:p w14:paraId="67F08627" w14:textId="77777777" w:rsidR="00326DB9" w:rsidRDefault="00326DB9" w:rsidP="00D132F3">
      <w:pPr>
        <w:bidi/>
        <w:spacing w:after="0" w:line="240" w:lineRule="auto"/>
        <w:jc w:val="lowKashida"/>
        <w:rPr>
          <w:rFonts w:ascii="Traditional Arabic" w:hAnsi="Traditional Arabic" w:cs="Traditional Arabic"/>
          <w:sz w:val="32"/>
          <w:szCs w:val="32"/>
          <w:rtl/>
        </w:rPr>
      </w:pPr>
      <w:r w:rsidRPr="00114A0C">
        <w:rPr>
          <w:rFonts w:ascii="Traditional Arabic" w:hAnsi="Traditional Arabic" w:cs="Traditional Arabic"/>
          <w:noProof/>
          <w:sz w:val="32"/>
          <w:szCs w:val="32"/>
          <w:rtl/>
        </w:rPr>
        <w:lastRenderedPageBreak/>
        <w:drawing>
          <wp:inline distT="0" distB="0" distL="0" distR="0" wp14:anchorId="1A0C49DA" wp14:editId="6479EE02">
            <wp:extent cx="6053138" cy="5452745"/>
            <wp:effectExtent l="0" t="0" r="5080" b="0"/>
            <wp:docPr id="925641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641795" name=""/>
                    <pic:cNvPicPr/>
                  </pic:nvPicPr>
                  <pic:blipFill>
                    <a:blip r:embed="rId19"/>
                    <a:stretch>
                      <a:fillRect/>
                    </a:stretch>
                  </pic:blipFill>
                  <pic:spPr>
                    <a:xfrm>
                      <a:off x="0" y="0"/>
                      <a:ext cx="6055948" cy="5455276"/>
                    </a:xfrm>
                    <a:prstGeom prst="rect">
                      <a:avLst/>
                    </a:prstGeom>
                  </pic:spPr>
                </pic:pic>
              </a:graphicData>
            </a:graphic>
          </wp:inline>
        </w:drawing>
      </w:r>
    </w:p>
    <w:p w14:paraId="115784BA" w14:textId="77777777" w:rsidR="00326DB9" w:rsidRDefault="007055E3" w:rsidP="00D132F3">
      <w:pPr>
        <w:bidi/>
        <w:spacing w:after="0" w:line="240" w:lineRule="auto"/>
        <w:jc w:val="lowKashida"/>
        <w:rPr>
          <w:rFonts w:ascii="Traditional Arabic" w:hAnsi="Traditional Arabic" w:cs="Traditional Arabic"/>
          <w:sz w:val="32"/>
          <w:szCs w:val="32"/>
          <w:rtl/>
        </w:rPr>
      </w:pPr>
      <w:hyperlink r:id="rId20" w:history="1">
        <w:r w:rsidR="00326DB9" w:rsidRPr="00A70E20">
          <w:rPr>
            <w:rStyle w:val="Hyperlink"/>
            <w:rFonts w:ascii="Traditional Arabic" w:hAnsi="Traditional Arabic" w:cs="Traditional Arabic"/>
            <w:sz w:val="32"/>
            <w:szCs w:val="32"/>
          </w:rPr>
          <w:t>https://2u.pw/yLrEty)</w:t>
        </w:r>
      </w:hyperlink>
      <w:r w:rsidR="00326DB9">
        <w:rPr>
          <w:rFonts w:ascii="Traditional Arabic" w:hAnsi="Traditional Arabic" w:cs="Traditional Arabic" w:hint="cs"/>
          <w:sz w:val="32"/>
          <w:szCs w:val="32"/>
          <w:rtl/>
        </w:rPr>
        <w:t>)</w:t>
      </w:r>
    </w:p>
    <w:p w14:paraId="5166B923" w14:textId="77777777" w:rsidR="00326DB9" w:rsidRDefault="00326DB9" w:rsidP="00D132F3">
      <w:pPr>
        <w:bidi/>
        <w:spacing w:after="0" w:line="240" w:lineRule="auto"/>
        <w:jc w:val="lowKashida"/>
        <w:rPr>
          <w:rFonts w:ascii="Traditional Arabic" w:hAnsi="Traditional Arabic" w:cs="Traditional Arabic"/>
          <w:sz w:val="32"/>
          <w:szCs w:val="32"/>
        </w:rPr>
      </w:pPr>
    </w:p>
    <w:p w14:paraId="6CD95F16" w14:textId="77777777" w:rsidR="00326DB9" w:rsidRPr="0072726D" w:rsidRDefault="00326DB9" w:rsidP="00D132F3">
      <w:pPr>
        <w:bidi/>
        <w:spacing w:after="0" w:line="240" w:lineRule="auto"/>
        <w:jc w:val="lowKashida"/>
        <w:rPr>
          <w:rFonts w:ascii="Traditional Arabic" w:hAnsi="Traditional Arabic" w:cs="Traditional Arabic"/>
          <w:b/>
          <w:bCs/>
          <w:sz w:val="32"/>
          <w:szCs w:val="32"/>
          <w:rtl/>
        </w:rPr>
      </w:pPr>
      <w:r w:rsidRPr="0072726D">
        <w:rPr>
          <w:rFonts w:ascii="Traditional Arabic" w:hAnsi="Traditional Arabic" w:cs="Traditional Arabic" w:hint="cs"/>
          <w:b/>
          <w:bCs/>
          <w:sz w:val="32"/>
          <w:szCs w:val="32"/>
          <w:rtl/>
        </w:rPr>
        <w:t xml:space="preserve">رابعا: </w:t>
      </w:r>
      <w:r w:rsidRPr="0072726D">
        <w:rPr>
          <w:rFonts w:ascii="Traditional Arabic" w:hAnsi="Traditional Arabic" w:cs="Traditional Arabic"/>
          <w:b/>
          <w:bCs/>
          <w:sz w:val="32"/>
          <w:szCs w:val="32"/>
          <w:rtl/>
        </w:rPr>
        <w:t xml:space="preserve">التحول الرقمي لنظم المعلومات المحاسبية وأثره في تعزيز كفاءة إدارة المخاطر الائتمانية في البنوك الإسلامية الكويتية </w:t>
      </w:r>
      <w:r w:rsidRPr="0072726D">
        <w:rPr>
          <w:rFonts w:ascii="Traditional Arabic" w:hAnsi="Traditional Arabic" w:cs="Traditional Arabic" w:hint="cs"/>
          <w:b/>
          <w:bCs/>
          <w:sz w:val="32"/>
          <w:szCs w:val="32"/>
          <w:rtl/>
        </w:rPr>
        <w:t>(</w:t>
      </w:r>
      <w:r w:rsidRPr="0072726D">
        <w:rPr>
          <w:rFonts w:ascii="Traditional Arabic" w:hAnsi="Traditional Arabic" w:cs="Traditional Arabic"/>
          <w:b/>
          <w:bCs/>
          <w:sz w:val="32"/>
          <w:szCs w:val="32"/>
          <w:rtl/>
        </w:rPr>
        <w:t xml:space="preserve">دراسة </w:t>
      </w:r>
      <w:r w:rsidRPr="0072726D">
        <w:rPr>
          <w:rFonts w:ascii="Traditional Arabic" w:hAnsi="Traditional Arabic" w:cs="Traditional Arabic" w:hint="cs"/>
          <w:b/>
          <w:bCs/>
          <w:sz w:val="32"/>
          <w:szCs w:val="32"/>
          <w:rtl/>
        </w:rPr>
        <w:t>ميدانية) وهي كالآتي:</w:t>
      </w:r>
    </w:p>
    <w:p w14:paraId="6A21B3FE" w14:textId="77777777" w:rsidR="00326DB9" w:rsidRPr="00EC3F41" w:rsidRDefault="00326DB9" w:rsidP="00D132F3">
      <w:pPr>
        <w:bidi/>
        <w:spacing w:after="0" w:line="240" w:lineRule="auto"/>
        <w:jc w:val="lowKashida"/>
        <w:rPr>
          <w:rFonts w:ascii="Traditional Arabic" w:hAnsi="Traditional Arabic" w:cs="Traditional Arabic"/>
          <w:sz w:val="32"/>
          <w:szCs w:val="32"/>
          <w:rtl/>
        </w:rPr>
      </w:pPr>
      <w:r w:rsidRPr="0072726D">
        <w:rPr>
          <w:rFonts w:ascii="Traditional Arabic" w:hAnsi="Traditional Arabic" w:cs="Traditional Arabic" w:hint="cs"/>
          <w:b/>
          <w:bCs/>
          <w:sz w:val="32"/>
          <w:szCs w:val="32"/>
          <w:rtl/>
        </w:rPr>
        <w:t>أولا</w:t>
      </w:r>
      <w:r>
        <w:rPr>
          <w:rFonts w:ascii="Traditional Arabic" w:hAnsi="Traditional Arabic" w:cs="Traditional Arabic" w:hint="cs"/>
          <w:sz w:val="32"/>
          <w:szCs w:val="32"/>
          <w:rtl/>
        </w:rPr>
        <w:t xml:space="preserve">: </w:t>
      </w:r>
      <w:r w:rsidRPr="00EC3F41">
        <w:rPr>
          <w:rFonts w:ascii="Traditional Arabic" w:hAnsi="Traditional Arabic" w:cs="Traditional Arabic"/>
          <w:sz w:val="32"/>
          <w:szCs w:val="32"/>
          <w:rtl/>
        </w:rPr>
        <w:t xml:space="preserve">بناءً على مقياس ليكرت </w:t>
      </w:r>
      <w:r w:rsidRPr="00EC3F41">
        <w:rPr>
          <w:rFonts w:ascii="Traditional Arabic" w:hAnsi="Traditional Arabic" w:cs="Traditional Arabic" w:hint="cs"/>
          <w:sz w:val="32"/>
          <w:szCs w:val="32"/>
          <w:rtl/>
        </w:rPr>
        <w:t>الخماسي والمعايير</w:t>
      </w:r>
      <w:r w:rsidRPr="00EC3F41">
        <w:rPr>
          <w:rFonts w:ascii="Traditional Arabic" w:hAnsi="Traditional Arabic" w:cs="Traditional Arabic"/>
          <w:sz w:val="32"/>
          <w:szCs w:val="32"/>
          <w:rtl/>
        </w:rPr>
        <w:t xml:space="preserve"> الإحصائية المعتمدة في الأبحاث المنشورة في المجلات الدولية تم تصنيف مستويات التقييم (المستوى المرجح) وفقاً للمدى التالي:</w:t>
      </w:r>
    </w:p>
    <w:p w14:paraId="2A0311C8" w14:textId="77777777" w:rsidR="00326DB9" w:rsidRPr="00EC3F41" w:rsidRDefault="00326DB9" w:rsidP="00D132F3">
      <w:pPr>
        <w:numPr>
          <w:ilvl w:val="0"/>
          <w:numId w:val="43"/>
        </w:numPr>
        <w:bidi/>
        <w:spacing w:after="0" w:line="240" w:lineRule="auto"/>
        <w:jc w:val="lowKashida"/>
        <w:rPr>
          <w:rFonts w:ascii="Traditional Arabic" w:hAnsi="Traditional Arabic" w:cs="Traditional Arabic"/>
          <w:sz w:val="32"/>
          <w:szCs w:val="32"/>
          <w:rtl/>
        </w:rPr>
      </w:pPr>
      <w:r w:rsidRPr="00EC3F41">
        <w:rPr>
          <w:rFonts w:ascii="Traditional Arabic" w:hAnsi="Traditional Arabic" w:cs="Traditional Arabic"/>
          <w:sz w:val="32"/>
          <w:szCs w:val="32"/>
          <w:rtl/>
        </w:rPr>
        <w:t>من 1.00 إلى 1.80: (منخفض جداً)</w:t>
      </w:r>
    </w:p>
    <w:p w14:paraId="52CDFED2" w14:textId="77777777" w:rsidR="00326DB9" w:rsidRPr="00EC3F41" w:rsidRDefault="00326DB9" w:rsidP="00D132F3">
      <w:pPr>
        <w:numPr>
          <w:ilvl w:val="0"/>
          <w:numId w:val="43"/>
        </w:numPr>
        <w:bidi/>
        <w:spacing w:after="0" w:line="240" w:lineRule="auto"/>
        <w:jc w:val="lowKashida"/>
        <w:rPr>
          <w:rFonts w:ascii="Traditional Arabic" w:hAnsi="Traditional Arabic" w:cs="Traditional Arabic"/>
          <w:sz w:val="32"/>
          <w:szCs w:val="32"/>
          <w:rtl/>
        </w:rPr>
      </w:pPr>
      <w:r w:rsidRPr="00EC3F41">
        <w:rPr>
          <w:rFonts w:ascii="Traditional Arabic" w:hAnsi="Traditional Arabic" w:cs="Traditional Arabic"/>
          <w:sz w:val="32"/>
          <w:szCs w:val="32"/>
          <w:rtl/>
        </w:rPr>
        <w:t>من 1.81 إلى 2.60: (منخفض)</w:t>
      </w:r>
    </w:p>
    <w:p w14:paraId="43B59DF9" w14:textId="77777777" w:rsidR="00326DB9" w:rsidRPr="00EC3F41" w:rsidRDefault="00326DB9" w:rsidP="00D132F3">
      <w:pPr>
        <w:numPr>
          <w:ilvl w:val="0"/>
          <w:numId w:val="43"/>
        </w:numPr>
        <w:bidi/>
        <w:spacing w:after="0" w:line="240" w:lineRule="auto"/>
        <w:jc w:val="lowKashida"/>
        <w:rPr>
          <w:rFonts w:ascii="Traditional Arabic" w:hAnsi="Traditional Arabic" w:cs="Traditional Arabic"/>
          <w:sz w:val="32"/>
          <w:szCs w:val="32"/>
          <w:rtl/>
        </w:rPr>
      </w:pPr>
      <w:r w:rsidRPr="00EC3F41">
        <w:rPr>
          <w:rFonts w:ascii="Traditional Arabic" w:hAnsi="Traditional Arabic" w:cs="Traditional Arabic"/>
          <w:sz w:val="32"/>
          <w:szCs w:val="32"/>
          <w:rtl/>
        </w:rPr>
        <w:lastRenderedPageBreak/>
        <w:t>من 2.61 إلى 3.40: (متوسط)</w:t>
      </w:r>
    </w:p>
    <w:p w14:paraId="297A3193" w14:textId="77777777" w:rsidR="00326DB9" w:rsidRPr="00EC3F41" w:rsidRDefault="00326DB9" w:rsidP="00D132F3">
      <w:pPr>
        <w:numPr>
          <w:ilvl w:val="0"/>
          <w:numId w:val="43"/>
        </w:numPr>
        <w:bidi/>
        <w:spacing w:after="0" w:line="240" w:lineRule="auto"/>
        <w:jc w:val="lowKashida"/>
        <w:rPr>
          <w:rFonts w:ascii="Traditional Arabic" w:hAnsi="Traditional Arabic" w:cs="Traditional Arabic"/>
          <w:sz w:val="32"/>
          <w:szCs w:val="32"/>
          <w:rtl/>
        </w:rPr>
      </w:pPr>
      <w:r w:rsidRPr="00EC3F41">
        <w:rPr>
          <w:rFonts w:ascii="Traditional Arabic" w:hAnsi="Traditional Arabic" w:cs="Traditional Arabic"/>
          <w:sz w:val="32"/>
          <w:szCs w:val="32"/>
          <w:rtl/>
        </w:rPr>
        <w:t>من 3.41 إلى 4.20: (مرتفع)</w:t>
      </w:r>
    </w:p>
    <w:p w14:paraId="4FCC9F41" w14:textId="77777777" w:rsidR="00326DB9" w:rsidRPr="00EC3F41" w:rsidRDefault="00326DB9" w:rsidP="00D132F3">
      <w:pPr>
        <w:numPr>
          <w:ilvl w:val="0"/>
          <w:numId w:val="43"/>
        </w:numPr>
        <w:bidi/>
        <w:spacing w:after="0" w:line="240" w:lineRule="auto"/>
        <w:jc w:val="lowKashida"/>
        <w:rPr>
          <w:rFonts w:ascii="Traditional Arabic" w:hAnsi="Traditional Arabic" w:cs="Traditional Arabic"/>
          <w:sz w:val="32"/>
          <w:szCs w:val="32"/>
          <w:rtl/>
        </w:rPr>
      </w:pPr>
      <w:r w:rsidRPr="00EC3F41">
        <w:rPr>
          <w:rFonts w:ascii="Traditional Arabic" w:hAnsi="Traditional Arabic" w:cs="Traditional Arabic"/>
          <w:sz w:val="32"/>
          <w:szCs w:val="32"/>
          <w:rtl/>
        </w:rPr>
        <w:t>من 4.21 إلى 5.00: (مرتفع جداً)</w:t>
      </w:r>
    </w:p>
    <w:p w14:paraId="78066C0F" w14:textId="77777777" w:rsidR="00326DB9" w:rsidRPr="00ED1604" w:rsidRDefault="00326DB9" w:rsidP="00D132F3">
      <w:pPr>
        <w:bidi/>
        <w:spacing w:after="0" w:line="240" w:lineRule="auto"/>
        <w:jc w:val="lowKashida"/>
        <w:rPr>
          <w:rFonts w:ascii="Traditional Arabic" w:hAnsi="Traditional Arabic" w:cs="Traditional Arabic"/>
          <w:sz w:val="32"/>
          <w:szCs w:val="32"/>
          <w:rtl/>
        </w:rPr>
      </w:pPr>
      <w:r w:rsidRPr="0072726D">
        <w:rPr>
          <w:rFonts w:ascii="Traditional Arabic" w:hAnsi="Traditional Arabic" w:cs="Traditional Arabic" w:hint="cs"/>
          <w:b/>
          <w:bCs/>
          <w:sz w:val="32"/>
          <w:szCs w:val="32"/>
          <w:rtl/>
        </w:rPr>
        <w:t>ثانيا:</w:t>
      </w:r>
      <w:r w:rsidRPr="0072726D">
        <w:rPr>
          <w:rFonts w:ascii="Traditional Arabic" w:hAnsi="Traditional Arabic" w:cs="Traditional Arabic"/>
          <w:b/>
          <w:bCs/>
          <w:sz w:val="32"/>
          <w:szCs w:val="32"/>
        </w:rPr>
        <w:t xml:space="preserve"> </w:t>
      </w:r>
      <w:r w:rsidRPr="0072726D">
        <w:rPr>
          <w:rFonts w:ascii="Traditional Arabic" w:hAnsi="Traditional Arabic" w:cs="Traditional Arabic"/>
          <w:b/>
          <w:bCs/>
          <w:sz w:val="32"/>
          <w:szCs w:val="32"/>
          <w:rtl/>
        </w:rPr>
        <w:t xml:space="preserve">وصف عينة </w:t>
      </w:r>
      <w:r w:rsidRPr="0072726D">
        <w:rPr>
          <w:rFonts w:ascii="Traditional Arabic" w:hAnsi="Traditional Arabic" w:cs="Traditional Arabic" w:hint="cs"/>
          <w:b/>
          <w:bCs/>
          <w:sz w:val="32"/>
          <w:szCs w:val="32"/>
          <w:rtl/>
        </w:rPr>
        <w:t>الدراسة</w:t>
      </w:r>
      <w:r w:rsidRPr="00ED1604">
        <w:rPr>
          <w:rFonts w:ascii="Traditional Arabic" w:hAnsi="Traditional Arabic" w:cs="Traditional Arabic"/>
          <w:sz w:val="32"/>
          <w:szCs w:val="32"/>
        </w:rPr>
        <w:t>:</w:t>
      </w:r>
    </w:p>
    <w:p w14:paraId="296C676C" w14:textId="77777777" w:rsidR="00326DB9" w:rsidRPr="0072726D" w:rsidRDefault="00326DB9" w:rsidP="00D132F3">
      <w:pPr>
        <w:bidi/>
        <w:spacing w:after="0" w:line="240" w:lineRule="auto"/>
        <w:jc w:val="lowKashida"/>
        <w:rPr>
          <w:rFonts w:ascii="Traditional Arabic" w:hAnsi="Traditional Arabic" w:cs="Traditional Arabic"/>
          <w:b/>
          <w:bCs/>
          <w:sz w:val="32"/>
          <w:szCs w:val="32"/>
        </w:rPr>
      </w:pPr>
      <w:r w:rsidRPr="0072726D">
        <w:rPr>
          <w:rFonts w:ascii="Traditional Arabic" w:hAnsi="Traditional Arabic" w:cs="Traditional Arabic"/>
          <w:b/>
          <w:bCs/>
          <w:sz w:val="32"/>
          <w:szCs w:val="32"/>
          <w:rtl/>
        </w:rPr>
        <w:t xml:space="preserve">الخصائص الديموغرافية </w:t>
      </w:r>
    </w:p>
    <w:tbl>
      <w:tblPr>
        <w:bidiVisual/>
        <w:tblW w:w="0" w:type="auto"/>
        <w:tblCellSpacing w:w="15" w:type="dxa"/>
        <w:tblCellMar>
          <w:left w:w="0" w:type="dxa"/>
          <w:right w:w="0" w:type="dxa"/>
        </w:tblCellMar>
        <w:tblLook w:val="04A0" w:firstRow="1" w:lastRow="0" w:firstColumn="1" w:lastColumn="0" w:noHBand="0" w:noVBand="1"/>
      </w:tblPr>
      <w:tblGrid>
        <w:gridCol w:w="1532"/>
        <w:gridCol w:w="2142"/>
        <w:gridCol w:w="1567"/>
        <w:gridCol w:w="1612"/>
      </w:tblGrid>
      <w:tr w:rsidR="00326DB9" w:rsidRPr="00BC0E32" w14:paraId="7EE1593D" w14:textId="77777777" w:rsidTr="007B65BF">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EC86A55" w14:textId="77777777" w:rsidR="00326DB9" w:rsidRPr="00BC0E32" w:rsidRDefault="00326DB9" w:rsidP="00D132F3">
            <w:pPr>
              <w:bidi/>
              <w:spacing w:after="0" w:line="240" w:lineRule="auto"/>
              <w:jc w:val="lowKashida"/>
              <w:rPr>
                <w:rFonts w:ascii="Arial" w:eastAsia="Times New Roman" w:hAnsi="Arial" w:cs="Arial"/>
                <w:color w:val="1F1F1F"/>
                <w:kern w:val="0"/>
                <w14:ligatures w14:val="none"/>
              </w:rPr>
            </w:pPr>
            <w:r w:rsidRPr="00BC0E32">
              <w:rPr>
                <w:rFonts w:ascii="Arial" w:eastAsia="Times New Roman" w:hAnsi="Arial" w:cs="Arial"/>
                <w:b/>
                <w:bCs/>
                <w:color w:val="1F1F1F"/>
                <w:kern w:val="0"/>
                <w:bdr w:val="none" w:sz="0" w:space="0" w:color="auto" w:frame="1"/>
                <w:rtl/>
                <w14:ligatures w14:val="none"/>
              </w:rPr>
              <w:t>المتغير</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9A41F63"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b/>
                <w:bCs/>
                <w:color w:val="1F1F1F"/>
                <w:kern w:val="0"/>
                <w:bdr w:val="none" w:sz="0" w:space="0" w:color="auto" w:frame="1"/>
                <w:rtl/>
                <w14:ligatures w14:val="none"/>
              </w:rPr>
              <w:t>الفئة</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854F102"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b/>
                <w:bCs/>
                <w:color w:val="1F1F1F"/>
                <w:kern w:val="0"/>
                <w:bdr w:val="none" w:sz="0" w:space="0" w:color="auto" w:frame="1"/>
                <w:rtl/>
                <w14:ligatures w14:val="none"/>
              </w:rPr>
              <w:t>التكرار (</w:t>
            </w:r>
            <w:r w:rsidRPr="00BC0E32">
              <w:rPr>
                <w:rFonts w:ascii="Arial" w:eastAsia="Times New Roman" w:hAnsi="Arial" w:cs="Arial"/>
                <w:b/>
                <w:bCs/>
                <w:color w:val="1F1F1F"/>
                <w:kern w:val="0"/>
                <w:bdr w:val="none" w:sz="0" w:space="0" w:color="auto" w:frame="1"/>
                <w14:ligatures w14:val="none"/>
              </w:rPr>
              <w:t>N=80</w:t>
            </w:r>
            <w:r w:rsidRPr="00BC0E32">
              <w:rPr>
                <w:rFonts w:ascii="Arial" w:eastAsia="Times New Roman" w:hAnsi="Arial" w:cs="Arial"/>
                <w:b/>
                <w:bCs/>
                <w:color w:val="1F1F1F"/>
                <w:kern w:val="0"/>
                <w:bdr w:val="none" w:sz="0" w:space="0" w:color="auto" w:frame="1"/>
                <w:rtl/>
                <w14:ligatures w14:val="none"/>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DAE9D9D"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b/>
                <w:bCs/>
                <w:color w:val="1F1F1F"/>
                <w:kern w:val="0"/>
                <w:bdr w:val="none" w:sz="0" w:space="0" w:color="auto" w:frame="1"/>
                <w:rtl/>
                <w14:ligatures w14:val="none"/>
              </w:rPr>
              <w:t>النسبة المئوية (%)</w:t>
            </w:r>
          </w:p>
        </w:tc>
      </w:tr>
      <w:tr w:rsidR="00326DB9" w:rsidRPr="00BC0E32" w14:paraId="6B5D7426"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62964C2"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b/>
                <w:bCs/>
                <w:color w:val="1F1F1F"/>
                <w:kern w:val="0"/>
                <w:bdr w:val="none" w:sz="0" w:space="0" w:color="auto" w:frame="1"/>
                <w:rtl/>
                <w14:ligatures w14:val="none"/>
              </w:rPr>
              <w:t>المسمى الوظيفي</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D0B3A06"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مدير إدارة / رئيس قسم</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2BDBFF6"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12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47A1AA8"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15%</w:t>
            </w:r>
          </w:p>
        </w:tc>
      </w:tr>
      <w:tr w:rsidR="00326DB9" w:rsidRPr="00BC0E32" w14:paraId="4EA2E271"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B3DBCD4"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A8207EE" w14:textId="77777777" w:rsidR="00326DB9" w:rsidRPr="00BC0E32" w:rsidRDefault="00326DB9" w:rsidP="00D132F3">
            <w:pPr>
              <w:bidi/>
              <w:spacing w:after="0" w:line="240" w:lineRule="auto"/>
              <w:jc w:val="lowKashida"/>
              <w:rPr>
                <w:rFonts w:ascii="Arial" w:eastAsia="Times New Roman" w:hAnsi="Arial" w:cs="Arial"/>
                <w:color w:val="1F1F1F"/>
                <w:kern w:val="0"/>
                <w14:ligatures w14:val="none"/>
              </w:rPr>
            </w:pPr>
            <w:r w:rsidRPr="00BC0E32">
              <w:rPr>
                <w:rFonts w:ascii="Arial" w:eastAsia="Times New Roman" w:hAnsi="Arial" w:cs="Arial"/>
                <w:color w:val="1F1F1F"/>
                <w:kern w:val="0"/>
                <w:bdr w:val="none" w:sz="0" w:space="0" w:color="auto" w:frame="1"/>
                <w:rtl/>
                <w14:ligatures w14:val="none"/>
              </w:rPr>
              <w:t>موظف تنفيذي / أخصائي</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976F321"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48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359FF46"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60%</w:t>
            </w:r>
          </w:p>
        </w:tc>
      </w:tr>
      <w:tr w:rsidR="00326DB9" w:rsidRPr="00BC0E32" w14:paraId="0AECF661"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9D5E3DD"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D9374D1" w14:textId="77777777" w:rsidR="00326DB9" w:rsidRPr="00BC0E32" w:rsidRDefault="00326DB9" w:rsidP="00D132F3">
            <w:pPr>
              <w:bidi/>
              <w:spacing w:after="0" w:line="240" w:lineRule="auto"/>
              <w:jc w:val="lowKashida"/>
              <w:rPr>
                <w:rFonts w:ascii="Arial" w:eastAsia="Times New Roman" w:hAnsi="Arial" w:cs="Arial"/>
                <w:color w:val="1F1F1F"/>
                <w:kern w:val="0"/>
                <w14:ligatures w14:val="none"/>
              </w:rPr>
            </w:pPr>
            <w:r w:rsidRPr="00BC0E32">
              <w:rPr>
                <w:rFonts w:ascii="Arial" w:eastAsia="Times New Roman" w:hAnsi="Arial" w:cs="Arial"/>
                <w:color w:val="1F1F1F"/>
                <w:kern w:val="0"/>
                <w:bdr w:val="none" w:sz="0" w:space="0" w:color="auto" w:frame="1"/>
                <w:rtl/>
                <w14:ligatures w14:val="none"/>
              </w:rPr>
              <w:t>مدقق داخلي / التزام</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CF56678"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20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D68DCD8"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25%</w:t>
            </w:r>
          </w:p>
        </w:tc>
      </w:tr>
      <w:tr w:rsidR="00326DB9" w:rsidRPr="00BC0E32" w14:paraId="0164607F"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FB4ABA6"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b/>
                <w:bCs/>
                <w:color w:val="1F1F1F"/>
                <w:kern w:val="0"/>
                <w:bdr w:val="none" w:sz="0" w:space="0" w:color="auto" w:frame="1"/>
                <w:rtl/>
                <w14:ligatures w14:val="none"/>
              </w:rPr>
              <w:t>سنوات الخبرة</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129D2EE"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أقل من 5 سنوات</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C8D9CDA"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16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FC70700"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20%</w:t>
            </w:r>
          </w:p>
        </w:tc>
      </w:tr>
      <w:tr w:rsidR="00326DB9" w:rsidRPr="00BC0E32" w14:paraId="371C6133"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2D6A548"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F8F7706" w14:textId="77777777" w:rsidR="00326DB9" w:rsidRPr="00BC0E32" w:rsidRDefault="00326DB9" w:rsidP="00D132F3">
            <w:pPr>
              <w:bidi/>
              <w:spacing w:after="0" w:line="240" w:lineRule="auto"/>
              <w:jc w:val="lowKashida"/>
              <w:rPr>
                <w:rFonts w:ascii="Arial" w:eastAsia="Times New Roman" w:hAnsi="Arial" w:cs="Arial"/>
                <w:color w:val="1F1F1F"/>
                <w:kern w:val="0"/>
                <w14:ligatures w14:val="none"/>
              </w:rPr>
            </w:pPr>
            <w:r w:rsidRPr="00BC0E32">
              <w:rPr>
                <w:rFonts w:ascii="Arial" w:eastAsia="Times New Roman" w:hAnsi="Arial" w:cs="Arial"/>
                <w:color w:val="1F1F1F"/>
                <w:kern w:val="0"/>
                <w:bdr w:val="none" w:sz="0" w:space="0" w:color="auto" w:frame="1"/>
                <w:rtl/>
                <w14:ligatures w14:val="none"/>
              </w:rPr>
              <w:t>من 5 إلى 10 سنوات</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DD60B8A"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36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7857D15"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45%</w:t>
            </w:r>
          </w:p>
        </w:tc>
      </w:tr>
      <w:tr w:rsidR="00326DB9" w:rsidRPr="00BC0E32" w14:paraId="4A31722C"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6C9C1CF"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51D0BB4" w14:textId="77777777" w:rsidR="00326DB9" w:rsidRPr="00BC0E32" w:rsidRDefault="00326DB9" w:rsidP="00D132F3">
            <w:pPr>
              <w:bidi/>
              <w:spacing w:after="0" w:line="240" w:lineRule="auto"/>
              <w:jc w:val="lowKashida"/>
              <w:rPr>
                <w:rFonts w:ascii="Arial" w:eastAsia="Times New Roman" w:hAnsi="Arial" w:cs="Arial"/>
                <w:color w:val="1F1F1F"/>
                <w:kern w:val="0"/>
                <w14:ligatures w14:val="none"/>
              </w:rPr>
            </w:pPr>
            <w:r w:rsidRPr="00BC0E32">
              <w:rPr>
                <w:rFonts w:ascii="Arial" w:eastAsia="Times New Roman" w:hAnsi="Arial" w:cs="Arial"/>
                <w:color w:val="1F1F1F"/>
                <w:kern w:val="0"/>
                <w:bdr w:val="none" w:sz="0" w:space="0" w:color="auto" w:frame="1"/>
                <w:rtl/>
                <w14:ligatures w14:val="none"/>
              </w:rPr>
              <w:t>أكثر من 10 سنوات</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656A247"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28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49C45E1" w14:textId="77777777" w:rsidR="00326DB9" w:rsidRPr="00BC0E32" w:rsidRDefault="00326DB9" w:rsidP="00D132F3">
            <w:pPr>
              <w:bidi/>
              <w:spacing w:after="0" w:line="240" w:lineRule="auto"/>
              <w:jc w:val="lowKashida"/>
              <w:rPr>
                <w:rFonts w:ascii="Arial" w:eastAsia="Times New Roman" w:hAnsi="Arial" w:cs="Arial"/>
                <w:color w:val="1F1F1F"/>
                <w:kern w:val="0"/>
                <w:rtl/>
                <w14:ligatures w14:val="none"/>
              </w:rPr>
            </w:pPr>
            <w:r w:rsidRPr="00BC0E32">
              <w:rPr>
                <w:rFonts w:ascii="Arial" w:eastAsia="Times New Roman" w:hAnsi="Arial" w:cs="Arial"/>
                <w:color w:val="1F1F1F"/>
                <w:kern w:val="0"/>
                <w:bdr w:val="none" w:sz="0" w:space="0" w:color="auto" w:frame="1"/>
                <w:rtl/>
                <w14:ligatures w14:val="none"/>
              </w:rPr>
              <w:t>35%</w:t>
            </w:r>
          </w:p>
        </w:tc>
      </w:tr>
    </w:tbl>
    <w:p w14:paraId="65F5ECFB" w14:textId="77777777" w:rsidR="00326DB9" w:rsidRDefault="00326DB9" w:rsidP="00D132F3">
      <w:pPr>
        <w:bidi/>
        <w:spacing w:after="0" w:line="240" w:lineRule="auto"/>
        <w:jc w:val="lowKashida"/>
        <w:rPr>
          <w:rFonts w:ascii="Traditional Arabic" w:hAnsi="Traditional Arabic" w:cs="Traditional Arabic"/>
          <w:sz w:val="32"/>
          <w:szCs w:val="32"/>
          <w:rtl/>
        </w:rPr>
      </w:pPr>
    </w:p>
    <w:p w14:paraId="269141B6" w14:textId="77777777" w:rsidR="00326DB9" w:rsidRDefault="00326DB9" w:rsidP="00D132F3">
      <w:pPr>
        <w:bidi/>
        <w:spacing w:after="0" w:line="240" w:lineRule="auto"/>
        <w:jc w:val="lowKashida"/>
        <w:rPr>
          <w:rFonts w:ascii="Traditional Arabic" w:hAnsi="Traditional Arabic" w:cs="Traditional Arabic"/>
          <w:sz w:val="32"/>
          <w:szCs w:val="32"/>
          <w:rtl/>
        </w:rPr>
      </w:pPr>
    </w:p>
    <w:p w14:paraId="2D92A581" w14:textId="77777777" w:rsidR="00326DB9" w:rsidRPr="00754249" w:rsidRDefault="00326DB9" w:rsidP="00D132F3">
      <w:pPr>
        <w:bidi/>
        <w:spacing w:after="0" w:line="240" w:lineRule="auto"/>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ثالثا:</w:t>
      </w:r>
      <w:r w:rsidRPr="00754249">
        <w:rPr>
          <w:rFonts w:ascii="Traditional Arabic" w:hAnsi="Traditional Arabic" w:cs="Traditional Arabic"/>
          <w:b/>
          <w:bCs/>
          <w:sz w:val="32"/>
          <w:szCs w:val="32"/>
          <w:rtl/>
        </w:rPr>
        <w:t xml:space="preserve"> نتائج </w:t>
      </w:r>
      <w:r w:rsidRPr="00754249">
        <w:rPr>
          <w:rFonts w:ascii="Traditional Arabic" w:hAnsi="Traditional Arabic" w:cs="Traditional Arabic" w:hint="cs"/>
          <w:b/>
          <w:bCs/>
          <w:sz w:val="32"/>
          <w:szCs w:val="32"/>
          <w:rtl/>
        </w:rPr>
        <w:t>تحليل:</w:t>
      </w:r>
    </w:p>
    <w:p w14:paraId="6DE41D27" w14:textId="77777777" w:rsidR="00326DB9" w:rsidRPr="006C7635" w:rsidRDefault="00326DB9" w:rsidP="00D132F3">
      <w:pPr>
        <w:bidi/>
        <w:spacing w:after="0" w:line="240" w:lineRule="auto"/>
        <w:jc w:val="lowKashida"/>
        <w:rPr>
          <w:rFonts w:ascii="Traditional Arabic" w:hAnsi="Traditional Arabic" w:cs="Traditional Arabic"/>
          <w:b/>
          <w:bCs/>
          <w:sz w:val="32"/>
          <w:szCs w:val="32"/>
          <w:rtl/>
        </w:rPr>
      </w:pPr>
      <w:r w:rsidRPr="006C7635">
        <w:rPr>
          <w:rFonts w:ascii="Traditional Arabic" w:hAnsi="Traditional Arabic" w:cs="Traditional Arabic"/>
          <w:b/>
          <w:bCs/>
          <w:sz w:val="32"/>
          <w:szCs w:val="32"/>
          <w:rtl/>
        </w:rPr>
        <w:t>الجزء الأول: البنية التحتية والتقنيات المعتمدة</w:t>
      </w:r>
    </w:p>
    <w:tbl>
      <w:tblPr>
        <w:bidiVisual/>
        <w:tblW w:w="0" w:type="auto"/>
        <w:tblCellSpacing w:w="15" w:type="dxa"/>
        <w:tblCellMar>
          <w:left w:w="0" w:type="dxa"/>
          <w:right w:w="0" w:type="dxa"/>
        </w:tblCellMar>
        <w:tblLook w:val="04A0" w:firstRow="1" w:lastRow="0" w:firstColumn="1" w:lastColumn="0" w:noHBand="0" w:noVBand="1"/>
      </w:tblPr>
      <w:tblGrid>
        <w:gridCol w:w="819"/>
        <w:gridCol w:w="4443"/>
        <w:gridCol w:w="1482"/>
        <w:gridCol w:w="1547"/>
        <w:gridCol w:w="1168"/>
      </w:tblGrid>
      <w:tr w:rsidR="00326DB9" w:rsidRPr="004366F8" w14:paraId="509EDB92" w14:textId="77777777" w:rsidTr="007B65BF">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33F5275" w14:textId="77777777" w:rsidR="00326DB9" w:rsidRPr="004366F8" w:rsidRDefault="00326DB9" w:rsidP="00D132F3">
            <w:pPr>
              <w:bidi/>
              <w:spacing w:after="0" w:line="240" w:lineRule="auto"/>
              <w:jc w:val="lowKashida"/>
              <w:rPr>
                <w:rFonts w:ascii="Traditional Arabic" w:hAnsi="Traditional Arabic" w:cs="Traditional Arabic"/>
                <w:sz w:val="32"/>
                <w:szCs w:val="32"/>
              </w:rPr>
            </w:pPr>
            <w:r w:rsidRPr="004366F8">
              <w:rPr>
                <w:rFonts w:ascii="Traditional Arabic" w:hAnsi="Traditional Arabic" w:cs="Traditional Arabic"/>
                <w:sz w:val="32"/>
                <w:szCs w:val="32"/>
                <w:rtl/>
              </w:rPr>
              <w:t>الترتيب</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F4B44EC"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العبارة</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59FD339"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المتوسط الحسابي</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F77021A"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الانحراف المعياري</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3989BD4"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مستوى التقييم</w:t>
            </w:r>
          </w:p>
        </w:tc>
      </w:tr>
      <w:tr w:rsidR="00326DB9" w:rsidRPr="004366F8" w14:paraId="76E65D25"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95A5BC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1</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A800F81"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الاعتماد على الأنظمة المصرفية الأساسية الحديثة.</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DDF877A"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4.45</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35D3554"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0.65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69D3A17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 جداً</w:t>
            </w:r>
          </w:p>
        </w:tc>
      </w:tr>
      <w:tr w:rsidR="00326DB9" w:rsidRPr="004366F8" w14:paraId="7F33FF00"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E904B80"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lastRenderedPageBreak/>
              <w:t>2</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0AD5F7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الاستفادة من حلول الحوسبة السحابية في النظم.</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6343CB6"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3.82</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D09DBD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0.82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E43EEFC"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254DE1A4"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8CAB1D1"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3145A7E"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استخدام تحليلات البيانات الضخمة لتعزيز الجودة.</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EE07D20"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3.55</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52CF6F0"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0.94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90A2583"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620268BF"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7D61C42"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C06D4F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تطبيق تقنيات البلوك تشين لزيادة الأمان والشفافية.</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D25AC8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3.40</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959715E"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1.02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75EFC51"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متوسط</w:t>
            </w:r>
          </w:p>
        </w:tc>
      </w:tr>
      <w:tr w:rsidR="00326DB9" w:rsidRPr="004366F8" w14:paraId="014FA082"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1793F81"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5</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38602B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تطبيق تقنيات الذكاء الاصطناعي في العمليات المحاسبية.</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72311E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3.25</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7739D39"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1.10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9634B61"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متوسط</w:t>
            </w:r>
          </w:p>
        </w:tc>
      </w:tr>
      <w:tr w:rsidR="00326DB9" w:rsidRPr="004366F8" w14:paraId="049647FB"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6CD4DA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D28E2DF"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المتوسط العام للمحور الأول</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4947D32"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3.69</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F93CE7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0.91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4657DC2"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bl>
    <w:p w14:paraId="14542D1F" w14:textId="77777777" w:rsidR="00326DB9" w:rsidRPr="00EC3F41" w:rsidRDefault="00326DB9" w:rsidP="00D132F3">
      <w:pPr>
        <w:bidi/>
        <w:spacing w:after="0" w:line="240" w:lineRule="auto"/>
        <w:jc w:val="lowKashida"/>
        <w:rPr>
          <w:rFonts w:ascii="Traditional Arabic" w:hAnsi="Traditional Arabic" w:cs="Traditional Arabic"/>
          <w:sz w:val="32"/>
          <w:szCs w:val="32"/>
          <w:rtl/>
        </w:rPr>
      </w:pPr>
      <w:r w:rsidRPr="00EC3F41">
        <w:rPr>
          <w:rFonts w:ascii="Traditional Arabic" w:hAnsi="Traditional Arabic" w:cs="Traditional Arabic"/>
          <w:sz w:val="32"/>
          <w:szCs w:val="32"/>
          <w:rtl/>
        </w:rPr>
        <w:t xml:space="preserve">تحليل النتائج: تُظهر النتائج أن البنوك محل الدراسة تمتلك بنية تحتية تقنية "مرتفعة" بمتوسط عام </w:t>
      </w:r>
      <w:r w:rsidRPr="00726425">
        <w:rPr>
          <w:rFonts w:ascii="Garamond" w:hAnsi="Garamond" w:cs="Traditional Arabic"/>
          <w:rtl/>
        </w:rPr>
        <w:t>(3.69</w:t>
      </w:r>
      <w:r w:rsidRPr="00EC3F41">
        <w:rPr>
          <w:rFonts w:ascii="Traditional Arabic" w:hAnsi="Traditional Arabic" w:cs="Traditional Arabic"/>
          <w:sz w:val="32"/>
          <w:szCs w:val="32"/>
          <w:rtl/>
        </w:rPr>
        <w:t>). ويُلاحظ أن التركيز الأساسي ينصب على الأنظمة المركزية التقليدية المحدثة، بينما لا تزال تقنيات الثورة الصناعية الرابعة مثل "الذكاء الاصطناعي" في مستوى "متوسط"، مما يشير إلى وجود فجوة تقنية تتطلب استثمارات مستقبلية لتحويل العمليات المحاسبية إلى الأنظمة الذكية بالكامل.</w:t>
      </w:r>
    </w:p>
    <w:p w14:paraId="7C53B5EE" w14:textId="77777777" w:rsidR="00326DB9" w:rsidRPr="006B79A9" w:rsidRDefault="00326DB9" w:rsidP="00D132F3">
      <w:pPr>
        <w:bidi/>
        <w:spacing w:after="0" w:line="240" w:lineRule="auto"/>
        <w:jc w:val="lowKashida"/>
        <w:rPr>
          <w:rFonts w:ascii="Traditional Arabic" w:hAnsi="Traditional Arabic" w:cs="Traditional Arabic"/>
          <w:b/>
          <w:bCs/>
          <w:sz w:val="32"/>
          <w:szCs w:val="32"/>
          <w:rtl/>
        </w:rPr>
      </w:pPr>
      <w:r w:rsidRPr="00EC3F41">
        <w:rPr>
          <w:rFonts w:ascii="Traditional Arabic" w:hAnsi="Traditional Arabic" w:cs="Traditional Arabic"/>
          <w:b/>
          <w:bCs/>
          <w:sz w:val="32"/>
          <w:szCs w:val="32"/>
          <w:rtl/>
        </w:rPr>
        <w:t>الجزء الثاني: الإطار الاستراتيجي والتشغيلي</w:t>
      </w:r>
      <w:r w:rsidRPr="006B79A9">
        <w:rPr>
          <w:rFonts w:ascii="Traditional Arabic" w:hAnsi="Traditional Arabic" w:cs="Traditional Arabic" w:hint="cs"/>
          <w:b/>
          <w:bCs/>
          <w:sz w:val="32"/>
          <w:szCs w:val="32"/>
          <w:rtl/>
        </w:rPr>
        <w:t>.</w:t>
      </w:r>
    </w:p>
    <w:tbl>
      <w:tblPr>
        <w:bidiVisual/>
        <w:tblW w:w="0" w:type="auto"/>
        <w:tblCellSpacing w:w="15" w:type="dxa"/>
        <w:tblCellMar>
          <w:left w:w="0" w:type="dxa"/>
          <w:right w:w="0" w:type="dxa"/>
        </w:tblCellMar>
        <w:tblLook w:val="04A0" w:firstRow="1" w:lastRow="0" w:firstColumn="1" w:lastColumn="0" w:noHBand="0" w:noVBand="1"/>
      </w:tblPr>
      <w:tblGrid>
        <w:gridCol w:w="819"/>
        <w:gridCol w:w="4358"/>
        <w:gridCol w:w="1512"/>
        <w:gridCol w:w="1577"/>
        <w:gridCol w:w="1193"/>
      </w:tblGrid>
      <w:tr w:rsidR="00326DB9" w:rsidRPr="004366F8" w14:paraId="3D65AB17" w14:textId="77777777" w:rsidTr="007B65BF">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2776A17" w14:textId="77777777" w:rsidR="00326DB9" w:rsidRPr="004366F8" w:rsidRDefault="00326DB9" w:rsidP="00D132F3">
            <w:pPr>
              <w:bidi/>
              <w:spacing w:after="0" w:line="240" w:lineRule="auto"/>
              <w:jc w:val="lowKashida"/>
              <w:rPr>
                <w:rFonts w:ascii="Traditional Arabic" w:hAnsi="Traditional Arabic" w:cs="Traditional Arabic"/>
                <w:sz w:val="32"/>
                <w:szCs w:val="32"/>
              </w:rPr>
            </w:pPr>
            <w:r w:rsidRPr="004366F8">
              <w:rPr>
                <w:rFonts w:ascii="Traditional Arabic" w:hAnsi="Traditional Arabic" w:cs="Traditional Arabic"/>
                <w:sz w:val="32"/>
                <w:szCs w:val="32"/>
                <w:rtl/>
              </w:rPr>
              <w:t>الترتيب</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A2DCD4C"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العبارة</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A29A763"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المتوسط الحسابي</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B076571"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الانحراف المعياري</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5CB9025"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مستوى التقييم</w:t>
            </w:r>
          </w:p>
        </w:tc>
      </w:tr>
      <w:tr w:rsidR="00326DB9" w:rsidRPr="004366F8" w14:paraId="2E3D9248"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0616E6C"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1</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4D5C94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تطوير النظم لضمان الامتثال التام للمبادئ الشرعية.</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8976A6F"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4.58</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3DAEAAF"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0.58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06A048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 جداً</w:t>
            </w:r>
          </w:p>
        </w:tc>
      </w:tr>
      <w:tr w:rsidR="00326DB9" w:rsidRPr="004366F8" w14:paraId="4DDF0350"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B218DC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lastRenderedPageBreak/>
              <w:t>2</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148D8EC"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وجود استراتيجية واضحة وشاملة للتحول الرقمي.</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2B6901C"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4.12</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0C32264"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0.75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90B343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36B59F67"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F8EEC06"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901ABD3"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دعم الإدارة العليا لمشاريع الرقمنة وتطوير النظم.</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0298B0E"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4.05</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4C863EB"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0.81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66ADDAF4"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22C38649"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0B1074F"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2725A2F"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كفاية الاستثمارات المالية المخصصة للتحول الرقمي.</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7FA99EA"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3.75</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3EF5B82"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0.88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096583B"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74C5E2FD"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2035080"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5</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4340366"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توفر برامج تدريبية تخصصية للموظفين على التقنيات.</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A732763"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3.68</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EBAD7CF"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0.92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0F5E7AF"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1C07D70B"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6A1E983"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C8837A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المتوسط العام للمحور الثاني</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0CC058B"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4.04</w:t>
            </w:r>
          </w:p>
        </w:tc>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DFD735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0.79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F3EEC9C"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bl>
    <w:p w14:paraId="73D18793" w14:textId="77777777" w:rsidR="00326DB9" w:rsidRDefault="00326DB9" w:rsidP="00D132F3">
      <w:pPr>
        <w:bidi/>
        <w:spacing w:after="0" w:line="240" w:lineRule="auto"/>
        <w:jc w:val="lowKashida"/>
        <w:rPr>
          <w:rFonts w:ascii="Traditional Arabic" w:hAnsi="Traditional Arabic" w:cs="Traditional Arabic"/>
          <w:sz w:val="32"/>
          <w:szCs w:val="32"/>
          <w:rtl/>
        </w:rPr>
      </w:pPr>
      <w:r w:rsidRPr="00EC3F41">
        <w:rPr>
          <w:rFonts w:ascii="Traditional Arabic" w:hAnsi="Traditional Arabic" w:cs="Traditional Arabic"/>
          <w:sz w:val="32"/>
          <w:szCs w:val="32"/>
          <w:rtl/>
        </w:rPr>
        <w:t xml:space="preserve">تحليل النتائج: يتمتع الإطار الاستراتيجي بمستوى تقييم "مرتفع" </w:t>
      </w:r>
      <w:r w:rsidRPr="00726425">
        <w:rPr>
          <w:rFonts w:ascii="Garamond" w:hAnsi="Garamond" w:cs="Traditional Arabic"/>
          <w:rtl/>
        </w:rPr>
        <w:t>(4.04</w:t>
      </w:r>
      <w:r w:rsidRPr="00EC3F41">
        <w:rPr>
          <w:rFonts w:ascii="Traditional Arabic" w:hAnsi="Traditional Arabic" w:cs="Traditional Arabic"/>
          <w:sz w:val="32"/>
          <w:szCs w:val="32"/>
          <w:rtl/>
        </w:rPr>
        <w:t>)، حيث جاء "الامتثال الشرعي الرقمي" في المرتبة الأولى بمتوسط (</w:t>
      </w:r>
      <w:r w:rsidRPr="00726425">
        <w:rPr>
          <w:rFonts w:ascii="Garamond" w:hAnsi="Garamond" w:cs="Traditional Arabic"/>
          <w:rtl/>
        </w:rPr>
        <w:t xml:space="preserve">4.58). </w:t>
      </w:r>
      <w:r w:rsidRPr="00EC3F41">
        <w:rPr>
          <w:rFonts w:ascii="Traditional Arabic" w:hAnsi="Traditional Arabic" w:cs="Traditional Arabic"/>
          <w:sz w:val="32"/>
          <w:szCs w:val="32"/>
          <w:rtl/>
        </w:rPr>
        <w:t>تعكس هذه النتيجة الأولوية القصوى التي توليها المصارف الإسلامية لدمج الضوابط الشرعية ضمن خوارزمياتها المحاسبية، وهو ما يعزز ثقة أصحاب المصلحة ويؤكد أن التحول الرقمي يسير وفق الهوية المؤسسية للبنك.</w:t>
      </w:r>
    </w:p>
    <w:p w14:paraId="484B16A7" w14:textId="6A4D62C7" w:rsidR="00326DB9" w:rsidRDefault="00326DB9" w:rsidP="00D132F3">
      <w:pPr>
        <w:bidi/>
        <w:spacing w:after="0" w:line="240" w:lineRule="auto"/>
        <w:jc w:val="lowKashida"/>
        <w:rPr>
          <w:rFonts w:ascii="Traditional Arabic" w:hAnsi="Traditional Arabic" w:cs="Traditional Arabic"/>
          <w:sz w:val="32"/>
          <w:szCs w:val="32"/>
          <w:rtl/>
        </w:rPr>
      </w:pPr>
    </w:p>
    <w:p w14:paraId="35D35352" w14:textId="07304144" w:rsidR="009025EC" w:rsidRDefault="009025EC" w:rsidP="009025EC">
      <w:pPr>
        <w:bidi/>
        <w:spacing w:after="0" w:line="240" w:lineRule="auto"/>
        <w:jc w:val="lowKashida"/>
        <w:rPr>
          <w:rFonts w:ascii="Traditional Arabic" w:hAnsi="Traditional Arabic" w:cs="Traditional Arabic"/>
          <w:sz w:val="32"/>
          <w:szCs w:val="32"/>
          <w:rtl/>
        </w:rPr>
      </w:pPr>
    </w:p>
    <w:p w14:paraId="61448453" w14:textId="1C954DF4" w:rsidR="009025EC" w:rsidRDefault="009025EC" w:rsidP="009025EC">
      <w:pPr>
        <w:bidi/>
        <w:spacing w:after="0" w:line="240" w:lineRule="auto"/>
        <w:jc w:val="lowKashida"/>
        <w:rPr>
          <w:rFonts w:ascii="Traditional Arabic" w:hAnsi="Traditional Arabic" w:cs="Traditional Arabic"/>
          <w:sz w:val="32"/>
          <w:szCs w:val="32"/>
          <w:rtl/>
        </w:rPr>
      </w:pPr>
    </w:p>
    <w:p w14:paraId="26DC4F67" w14:textId="6CDEDA03" w:rsidR="009025EC" w:rsidRDefault="009025EC" w:rsidP="009025EC">
      <w:pPr>
        <w:bidi/>
        <w:spacing w:after="0" w:line="240" w:lineRule="auto"/>
        <w:jc w:val="lowKashida"/>
        <w:rPr>
          <w:rFonts w:ascii="Traditional Arabic" w:hAnsi="Traditional Arabic" w:cs="Traditional Arabic"/>
          <w:sz w:val="32"/>
          <w:szCs w:val="32"/>
          <w:rtl/>
        </w:rPr>
      </w:pPr>
    </w:p>
    <w:p w14:paraId="3C5E9CC0" w14:textId="14B04EBD" w:rsidR="009025EC" w:rsidRDefault="009025EC" w:rsidP="009025EC">
      <w:pPr>
        <w:bidi/>
        <w:spacing w:after="0" w:line="240" w:lineRule="auto"/>
        <w:jc w:val="lowKashida"/>
        <w:rPr>
          <w:rFonts w:ascii="Traditional Arabic" w:hAnsi="Traditional Arabic" w:cs="Traditional Arabic"/>
          <w:sz w:val="32"/>
          <w:szCs w:val="32"/>
          <w:rtl/>
        </w:rPr>
      </w:pPr>
    </w:p>
    <w:p w14:paraId="4AC96C18" w14:textId="2C44C0D8" w:rsidR="009025EC" w:rsidRDefault="009025EC" w:rsidP="009025EC">
      <w:pPr>
        <w:bidi/>
        <w:spacing w:after="0" w:line="240" w:lineRule="auto"/>
        <w:jc w:val="lowKashida"/>
        <w:rPr>
          <w:rFonts w:ascii="Traditional Arabic" w:hAnsi="Traditional Arabic" w:cs="Traditional Arabic"/>
          <w:sz w:val="32"/>
          <w:szCs w:val="32"/>
          <w:rtl/>
        </w:rPr>
      </w:pPr>
    </w:p>
    <w:p w14:paraId="64A6D610" w14:textId="77777777" w:rsidR="009025EC" w:rsidRDefault="009025EC" w:rsidP="009025EC">
      <w:pPr>
        <w:bidi/>
        <w:spacing w:after="0" w:line="240" w:lineRule="auto"/>
        <w:jc w:val="lowKashida"/>
        <w:rPr>
          <w:rFonts w:ascii="Traditional Arabic" w:hAnsi="Traditional Arabic" w:cs="Traditional Arabic"/>
          <w:sz w:val="32"/>
          <w:szCs w:val="32"/>
          <w:rtl/>
        </w:rPr>
      </w:pPr>
    </w:p>
    <w:p w14:paraId="03B0CF13" w14:textId="77777777" w:rsidR="00326DB9" w:rsidRPr="006C7635" w:rsidRDefault="00326DB9" w:rsidP="00D132F3">
      <w:pPr>
        <w:bidi/>
        <w:spacing w:after="0" w:line="240" w:lineRule="auto"/>
        <w:jc w:val="lowKashida"/>
        <w:rPr>
          <w:rFonts w:ascii="Traditional Arabic" w:hAnsi="Traditional Arabic" w:cs="Traditional Arabic"/>
          <w:b/>
          <w:bCs/>
          <w:sz w:val="32"/>
          <w:szCs w:val="32"/>
          <w:rtl/>
        </w:rPr>
      </w:pPr>
      <w:r w:rsidRPr="00EC3F41">
        <w:rPr>
          <w:rFonts w:ascii="Traditional Arabic" w:hAnsi="Traditional Arabic" w:cs="Traditional Arabic"/>
          <w:b/>
          <w:bCs/>
          <w:sz w:val="32"/>
          <w:szCs w:val="32"/>
          <w:rtl/>
        </w:rPr>
        <w:lastRenderedPageBreak/>
        <w:t>الجزء الثالث: أداء وكفاءة نظم المعلومات المحاسبية</w:t>
      </w:r>
      <w:r w:rsidRPr="006B79A9">
        <w:rPr>
          <w:rFonts w:ascii="Traditional Arabic" w:hAnsi="Traditional Arabic" w:cs="Traditional Arabic" w:hint="cs"/>
          <w:b/>
          <w:bCs/>
          <w:sz w:val="32"/>
          <w:szCs w:val="32"/>
          <w:rtl/>
        </w:rPr>
        <w:t>.</w:t>
      </w:r>
    </w:p>
    <w:tbl>
      <w:tblPr>
        <w:bidiVisual/>
        <w:tblW w:w="0" w:type="auto"/>
        <w:tblCellSpacing w:w="15" w:type="dxa"/>
        <w:tblCellMar>
          <w:left w:w="0" w:type="dxa"/>
          <w:right w:w="0" w:type="dxa"/>
        </w:tblCellMar>
        <w:tblLook w:val="04A0" w:firstRow="1" w:lastRow="0" w:firstColumn="1" w:lastColumn="0" w:noHBand="0" w:noVBand="1"/>
      </w:tblPr>
      <w:tblGrid>
        <w:gridCol w:w="819"/>
        <w:gridCol w:w="4094"/>
        <w:gridCol w:w="1530"/>
        <w:gridCol w:w="1666"/>
        <w:gridCol w:w="1235"/>
      </w:tblGrid>
      <w:tr w:rsidR="00326DB9" w:rsidRPr="004366F8" w14:paraId="63BCA2FE" w14:textId="77777777" w:rsidTr="007B65BF">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104CD8A" w14:textId="77777777" w:rsidR="00326DB9" w:rsidRPr="004366F8" w:rsidRDefault="00326DB9" w:rsidP="00D132F3">
            <w:pPr>
              <w:bidi/>
              <w:spacing w:after="0" w:line="240" w:lineRule="auto"/>
              <w:jc w:val="lowKashida"/>
              <w:rPr>
                <w:rFonts w:ascii="Traditional Arabic" w:hAnsi="Traditional Arabic" w:cs="Traditional Arabic"/>
                <w:sz w:val="32"/>
                <w:szCs w:val="32"/>
              </w:rPr>
            </w:pPr>
            <w:r w:rsidRPr="004366F8">
              <w:rPr>
                <w:rFonts w:ascii="Traditional Arabic" w:hAnsi="Traditional Arabic" w:cs="Traditional Arabic"/>
                <w:sz w:val="32"/>
                <w:szCs w:val="32"/>
                <w:rtl/>
              </w:rPr>
              <w:t>الترتيب</w:t>
            </w:r>
          </w:p>
        </w:tc>
        <w:tc>
          <w:tcPr>
            <w:tcW w:w="406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04E057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العبارة</w:t>
            </w:r>
          </w:p>
        </w:tc>
        <w:tc>
          <w:tcPr>
            <w:tcW w:w="1500" w:type="dxa"/>
            <w:tcBorders>
              <w:top w:val="single" w:sz="6" w:space="0" w:color="auto"/>
              <w:left w:val="single" w:sz="6" w:space="0" w:color="auto"/>
              <w:bottom w:val="single" w:sz="4" w:space="0" w:color="auto"/>
              <w:right w:val="single" w:sz="6" w:space="0" w:color="auto"/>
            </w:tcBorders>
            <w:tcMar>
              <w:top w:w="240" w:type="dxa"/>
              <w:left w:w="180" w:type="dxa"/>
              <w:bottom w:w="240" w:type="dxa"/>
              <w:right w:w="0" w:type="dxa"/>
            </w:tcMar>
            <w:vAlign w:val="center"/>
            <w:hideMark/>
          </w:tcPr>
          <w:p w14:paraId="6C349A5E"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المتوسط</w:t>
            </w:r>
            <w:r>
              <w:rPr>
                <w:rFonts w:ascii="Traditional Arabic" w:hAnsi="Traditional Arabic" w:cs="Traditional Arabic" w:hint="cs"/>
                <w:sz w:val="32"/>
                <w:szCs w:val="32"/>
                <w:rtl/>
              </w:rPr>
              <w:t xml:space="preserve"> </w:t>
            </w:r>
            <w:r w:rsidRPr="004366F8">
              <w:rPr>
                <w:rFonts w:ascii="Traditional Arabic" w:hAnsi="Traditional Arabic" w:cs="Traditional Arabic"/>
                <w:sz w:val="32"/>
                <w:szCs w:val="32"/>
                <w:rtl/>
              </w:rPr>
              <w:t>لحسابي</w:t>
            </w:r>
          </w:p>
        </w:tc>
        <w:tc>
          <w:tcPr>
            <w:tcW w:w="1636"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912F6D1"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الانحراف</w:t>
            </w:r>
            <w:r>
              <w:rPr>
                <w:rFonts w:ascii="Traditional Arabic" w:hAnsi="Traditional Arabic" w:cs="Traditional Arabic" w:hint="cs"/>
                <w:sz w:val="32"/>
                <w:szCs w:val="32"/>
                <w:rtl/>
              </w:rPr>
              <w:t xml:space="preserve"> </w:t>
            </w:r>
            <w:r w:rsidRPr="004366F8">
              <w:rPr>
                <w:rFonts w:ascii="Traditional Arabic" w:hAnsi="Traditional Arabic" w:cs="Traditional Arabic"/>
                <w:sz w:val="32"/>
                <w:szCs w:val="32"/>
                <w:rtl/>
              </w:rPr>
              <w:t>المعياري</w:t>
            </w:r>
          </w:p>
        </w:tc>
        <w:tc>
          <w:tcPr>
            <w:tcW w:w="1190"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79394B5"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مستوى التقييم</w:t>
            </w:r>
          </w:p>
        </w:tc>
      </w:tr>
      <w:tr w:rsidR="00326DB9" w:rsidRPr="004366F8" w14:paraId="23C4FF26"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6C5CFC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1</w:t>
            </w:r>
          </w:p>
        </w:tc>
        <w:tc>
          <w:tcPr>
            <w:tcW w:w="406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DC1CA0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تحسن سرعة إعداد التقارير المالية والمحاسبية الدورية.</w:t>
            </w:r>
          </w:p>
        </w:tc>
        <w:tc>
          <w:tcPr>
            <w:tcW w:w="150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E70779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4.35</w:t>
            </w:r>
          </w:p>
        </w:tc>
        <w:tc>
          <w:tcPr>
            <w:tcW w:w="1636"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BA897E0"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0.68</w:t>
            </w:r>
          </w:p>
        </w:tc>
        <w:tc>
          <w:tcPr>
            <w:tcW w:w="1190"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DD732CE"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 جداً</w:t>
            </w:r>
          </w:p>
        </w:tc>
      </w:tr>
      <w:tr w:rsidR="00326DB9" w:rsidRPr="004366F8" w14:paraId="74E7F5D5"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77D2760"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2</w:t>
            </w:r>
          </w:p>
        </w:tc>
        <w:tc>
          <w:tcPr>
            <w:tcW w:w="406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75C6E2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انخفاض نسبة الأخطاء البشرية في القييد والمعالجة.</w:t>
            </w:r>
          </w:p>
        </w:tc>
        <w:tc>
          <w:tcPr>
            <w:tcW w:w="150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FFADE0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4.22</w:t>
            </w:r>
          </w:p>
        </w:tc>
        <w:tc>
          <w:tcPr>
            <w:tcW w:w="1636"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624A92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0.72</w:t>
            </w:r>
          </w:p>
        </w:tc>
        <w:tc>
          <w:tcPr>
            <w:tcW w:w="1190"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77A2B9E"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 جداً</w:t>
            </w:r>
          </w:p>
        </w:tc>
      </w:tr>
      <w:tr w:rsidR="00326DB9" w:rsidRPr="004366F8" w14:paraId="459BD6BF"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1CED761"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w:t>
            </w:r>
          </w:p>
        </w:tc>
        <w:tc>
          <w:tcPr>
            <w:tcW w:w="406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7296666"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قدرة النظام على توفير معلومات تدعم اتخاذ القرار.</w:t>
            </w:r>
          </w:p>
        </w:tc>
        <w:tc>
          <w:tcPr>
            <w:tcW w:w="150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A4A3FCF"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4.18</w:t>
            </w:r>
          </w:p>
        </w:tc>
        <w:tc>
          <w:tcPr>
            <w:tcW w:w="1636"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D7EB034"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0.76</w:t>
            </w:r>
          </w:p>
        </w:tc>
        <w:tc>
          <w:tcPr>
            <w:tcW w:w="1190"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603AAA15"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3550D4FB"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68A458A"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w:t>
            </w:r>
          </w:p>
        </w:tc>
        <w:tc>
          <w:tcPr>
            <w:tcW w:w="406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19A850C"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سهولة استرجاع البيانات التاريخية والمقارنة.</w:t>
            </w:r>
          </w:p>
        </w:tc>
        <w:tc>
          <w:tcPr>
            <w:tcW w:w="150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FEEBC8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4.10</w:t>
            </w:r>
          </w:p>
        </w:tc>
        <w:tc>
          <w:tcPr>
            <w:tcW w:w="1636"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4C3767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0.79</w:t>
            </w:r>
          </w:p>
        </w:tc>
        <w:tc>
          <w:tcPr>
            <w:tcW w:w="1190"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9A4760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10D61CCC"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90768B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5</w:t>
            </w:r>
          </w:p>
        </w:tc>
        <w:tc>
          <w:tcPr>
            <w:tcW w:w="406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C4A0669"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تكامل النظام المحاسبي مع الإدارات الأخرى.</w:t>
            </w:r>
          </w:p>
        </w:tc>
        <w:tc>
          <w:tcPr>
            <w:tcW w:w="150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EE4A56A"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3.95</w:t>
            </w:r>
          </w:p>
        </w:tc>
        <w:tc>
          <w:tcPr>
            <w:tcW w:w="1636"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4AAA0F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0.85</w:t>
            </w:r>
          </w:p>
        </w:tc>
        <w:tc>
          <w:tcPr>
            <w:tcW w:w="1190"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0EEB65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65EE42F8" w14:textId="77777777" w:rsidTr="007B65BF">
        <w:trPr>
          <w:trHeight w:val="20"/>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11B74E3"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w:t>
            </w:r>
          </w:p>
        </w:tc>
        <w:tc>
          <w:tcPr>
            <w:tcW w:w="406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55FD37A"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المتوسط العام للمحور الثالث</w:t>
            </w:r>
          </w:p>
        </w:tc>
        <w:tc>
          <w:tcPr>
            <w:tcW w:w="150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840ACD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4.16</w:t>
            </w:r>
          </w:p>
        </w:tc>
        <w:tc>
          <w:tcPr>
            <w:tcW w:w="1636"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43377F5"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0.76</w:t>
            </w:r>
          </w:p>
        </w:tc>
        <w:tc>
          <w:tcPr>
            <w:tcW w:w="1190"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58DA48B"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bl>
    <w:p w14:paraId="008C1DC8" w14:textId="101DA5D0" w:rsidR="00326DB9" w:rsidRDefault="00326DB9" w:rsidP="00D132F3">
      <w:pPr>
        <w:bidi/>
        <w:spacing w:after="0" w:line="240" w:lineRule="auto"/>
        <w:jc w:val="lowKashida"/>
        <w:rPr>
          <w:rFonts w:ascii="Traditional Arabic" w:hAnsi="Traditional Arabic" w:cs="Traditional Arabic"/>
          <w:sz w:val="32"/>
          <w:szCs w:val="32"/>
          <w:rtl/>
        </w:rPr>
      </w:pPr>
      <w:r w:rsidRPr="00EC3F41">
        <w:rPr>
          <w:rFonts w:ascii="Traditional Arabic" w:hAnsi="Traditional Arabic" w:cs="Traditional Arabic"/>
          <w:sz w:val="32"/>
          <w:szCs w:val="32"/>
          <w:rtl/>
        </w:rPr>
        <w:t xml:space="preserve">تحليل النتائج: وصل مستوى تقييم أداء النظم المحاسبية إلى </w:t>
      </w:r>
      <w:r w:rsidRPr="00726425">
        <w:rPr>
          <w:rFonts w:ascii="Arial" w:hAnsi="Arial" w:cs="Arial"/>
          <w:rtl/>
        </w:rPr>
        <w:t>(</w:t>
      </w:r>
      <w:r w:rsidRPr="004842B1">
        <w:rPr>
          <w:rFonts w:ascii="Garamond" w:hAnsi="Garamond" w:cs="Arial"/>
          <w:rtl/>
        </w:rPr>
        <w:t>4.16</w:t>
      </w:r>
      <w:r w:rsidRPr="00EC3F41">
        <w:rPr>
          <w:rFonts w:ascii="Traditional Arabic" w:hAnsi="Traditional Arabic" w:cs="Traditional Arabic"/>
          <w:sz w:val="32"/>
          <w:szCs w:val="32"/>
          <w:rtl/>
        </w:rPr>
        <w:t>)، وهي درجة "مرتفعة" تقترب من "المرتفعة جداً". تشير هذه النتيجة إلى نجاح الرقمنة في تحقيق أهدافها التشغيلية، وخاصة في جانبي السرعة والدقة (انخفاض الأخطاء)، مما يعزز الخصائص النوعية للمعلومات المحاسبية ويجعلها أكثر ملاءمة لمتطلبات الإفصاح والشفافية الدولية.</w:t>
      </w:r>
    </w:p>
    <w:p w14:paraId="5C6ECACB" w14:textId="6F6F1B78" w:rsidR="00506002" w:rsidRDefault="00506002" w:rsidP="00506002">
      <w:pPr>
        <w:bidi/>
        <w:spacing w:after="0" w:line="240" w:lineRule="auto"/>
        <w:jc w:val="lowKashida"/>
        <w:rPr>
          <w:rFonts w:ascii="Traditional Arabic" w:hAnsi="Traditional Arabic" w:cs="Traditional Arabic"/>
          <w:sz w:val="32"/>
          <w:szCs w:val="32"/>
          <w:rtl/>
        </w:rPr>
      </w:pPr>
    </w:p>
    <w:p w14:paraId="147DCDDF" w14:textId="394FA07B" w:rsidR="009025EC" w:rsidRDefault="009025EC" w:rsidP="009025EC">
      <w:pPr>
        <w:bidi/>
        <w:spacing w:after="0" w:line="240" w:lineRule="auto"/>
        <w:jc w:val="lowKashida"/>
        <w:rPr>
          <w:rFonts w:ascii="Traditional Arabic" w:hAnsi="Traditional Arabic" w:cs="Traditional Arabic"/>
          <w:sz w:val="32"/>
          <w:szCs w:val="32"/>
          <w:rtl/>
        </w:rPr>
      </w:pPr>
    </w:p>
    <w:p w14:paraId="3ECC5890" w14:textId="406E69E6" w:rsidR="009025EC" w:rsidRDefault="009025EC" w:rsidP="009025EC">
      <w:pPr>
        <w:bidi/>
        <w:spacing w:after="0" w:line="240" w:lineRule="auto"/>
        <w:jc w:val="lowKashida"/>
        <w:rPr>
          <w:rFonts w:ascii="Traditional Arabic" w:hAnsi="Traditional Arabic" w:cs="Traditional Arabic"/>
          <w:sz w:val="32"/>
          <w:szCs w:val="32"/>
          <w:rtl/>
        </w:rPr>
      </w:pPr>
    </w:p>
    <w:p w14:paraId="66E1715F" w14:textId="77777777" w:rsidR="009025EC" w:rsidRPr="00EC3F41" w:rsidRDefault="009025EC" w:rsidP="009025EC">
      <w:pPr>
        <w:bidi/>
        <w:spacing w:after="0" w:line="240" w:lineRule="auto"/>
        <w:jc w:val="lowKashida"/>
        <w:rPr>
          <w:rFonts w:ascii="Traditional Arabic" w:hAnsi="Traditional Arabic" w:cs="Traditional Arabic"/>
          <w:sz w:val="32"/>
          <w:szCs w:val="32"/>
        </w:rPr>
      </w:pPr>
    </w:p>
    <w:p w14:paraId="1A5F3489" w14:textId="77777777" w:rsidR="00326DB9" w:rsidRPr="006B79A9" w:rsidRDefault="00326DB9" w:rsidP="00D132F3">
      <w:pPr>
        <w:bidi/>
        <w:spacing w:after="0" w:line="240" w:lineRule="auto"/>
        <w:jc w:val="lowKashida"/>
        <w:rPr>
          <w:rFonts w:ascii="Traditional Arabic" w:hAnsi="Traditional Arabic" w:cs="Traditional Arabic"/>
          <w:b/>
          <w:bCs/>
          <w:sz w:val="32"/>
          <w:szCs w:val="32"/>
          <w:rtl/>
        </w:rPr>
      </w:pPr>
      <w:r w:rsidRPr="00EC3F41">
        <w:rPr>
          <w:rFonts w:ascii="Traditional Arabic" w:hAnsi="Traditional Arabic" w:cs="Traditional Arabic"/>
          <w:b/>
          <w:bCs/>
          <w:sz w:val="32"/>
          <w:szCs w:val="32"/>
          <w:rtl/>
        </w:rPr>
        <w:lastRenderedPageBreak/>
        <w:t>الجزء الرابع: التحديات والمخاطر المرتبطة بالتحول الرقمي</w:t>
      </w:r>
      <w:r w:rsidRPr="006B79A9">
        <w:rPr>
          <w:rFonts w:ascii="Traditional Arabic" w:hAnsi="Traditional Arabic" w:cs="Traditional Arabic" w:hint="cs"/>
          <w:b/>
          <w:bCs/>
          <w:sz w:val="32"/>
          <w:szCs w:val="32"/>
          <w:rtl/>
        </w:rPr>
        <w:t>.</w:t>
      </w:r>
    </w:p>
    <w:tbl>
      <w:tblPr>
        <w:bidiVisual/>
        <w:tblW w:w="0" w:type="auto"/>
        <w:tblCellSpacing w:w="15" w:type="dxa"/>
        <w:tblCellMar>
          <w:left w:w="0" w:type="dxa"/>
          <w:right w:w="0" w:type="dxa"/>
        </w:tblCellMar>
        <w:tblLook w:val="04A0" w:firstRow="1" w:lastRow="0" w:firstColumn="1" w:lastColumn="0" w:noHBand="0" w:noVBand="1"/>
      </w:tblPr>
      <w:tblGrid>
        <w:gridCol w:w="819"/>
        <w:gridCol w:w="4004"/>
        <w:gridCol w:w="1620"/>
        <w:gridCol w:w="1620"/>
        <w:gridCol w:w="1281"/>
      </w:tblGrid>
      <w:tr w:rsidR="00326DB9" w:rsidRPr="004366F8" w14:paraId="2F662293" w14:textId="77777777" w:rsidTr="007B65BF">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16F2C0F" w14:textId="77777777" w:rsidR="00326DB9" w:rsidRPr="004366F8" w:rsidRDefault="00326DB9" w:rsidP="00D132F3">
            <w:pPr>
              <w:bidi/>
              <w:spacing w:after="0" w:line="240" w:lineRule="auto"/>
              <w:jc w:val="lowKashida"/>
              <w:rPr>
                <w:rFonts w:ascii="Traditional Arabic" w:hAnsi="Traditional Arabic" w:cs="Traditional Arabic"/>
                <w:sz w:val="32"/>
                <w:szCs w:val="32"/>
              </w:rPr>
            </w:pPr>
            <w:r w:rsidRPr="004366F8">
              <w:rPr>
                <w:rFonts w:ascii="Traditional Arabic" w:hAnsi="Traditional Arabic" w:cs="Traditional Arabic"/>
                <w:sz w:val="32"/>
                <w:szCs w:val="32"/>
                <w:rtl/>
              </w:rPr>
              <w:t>الترتيب</w:t>
            </w:r>
          </w:p>
        </w:tc>
        <w:tc>
          <w:tcPr>
            <w:tcW w:w="397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0FA1AF2"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العبارة</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5E88FD5"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المتوسط الحسابي</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5E290A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الانحراف المعياري</w:t>
            </w:r>
          </w:p>
        </w:tc>
        <w:tc>
          <w:tcPr>
            <w:tcW w:w="1236"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FD4524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مستوى التقييم</w:t>
            </w:r>
          </w:p>
        </w:tc>
      </w:tr>
      <w:tr w:rsidR="00326DB9" w:rsidRPr="004366F8" w14:paraId="443A3A98"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C4929A1"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1</w:t>
            </w:r>
          </w:p>
        </w:tc>
        <w:tc>
          <w:tcPr>
            <w:tcW w:w="397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DCF099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مخاطر الأمن السيبراني واختراق سرية البيانات المالية.</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AAFA253"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4.42</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EF3140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0.62</w:t>
            </w:r>
          </w:p>
        </w:tc>
        <w:tc>
          <w:tcPr>
            <w:tcW w:w="1236"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3E54547E"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 جداً</w:t>
            </w:r>
          </w:p>
        </w:tc>
      </w:tr>
      <w:tr w:rsidR="00326DB9" w:rsidRPr="004366F8" w14:paraId="1B55843C"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8E6A460"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2</w:t>
            </w:r>
          </w:p>
        </w:tc>
        <w:tc>
          <w:tcPr>
            <w:tcW w:w="397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33CB179"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الحاجة لتحديث التشريعات والقوانين المنظمة للعمل الرقمي.</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A712415"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4.28</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1820B2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0.70</w:t>
            </w:r>
          </w:p>
        </w:tc>
        <w:tc>
          <w:tcPr>
            <w:tcW w:w="1236"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4F2A29E"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 جداً</w:t>
            </w:r>
          </w:p>
        </w:tc>
      </w:tr>
      <w:tr w:rsidR="00326DB9" w:rsidRPr="004366F8" w14:paraId="6B3ADEEC"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ABEA1FA"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w:t>
            </w:r>
          </w:p>
        </w:tc>
        <w:tc>
          <w:tcPr>
            <w:tcW w:w="397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E58C5CB"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التكلفة العالية لصيانة وتحديث الأنظمة التقنية.</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6EA8CBA5"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3.90</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5C995D0B"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0.88</w:t>
            </w:r>
          </w:p>
        </w:tc>
        <w:tc>
          <w:tcPr>
            <w:tcW w:w="1236"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293629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61018871"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C87054A"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4</w:t>
            </w:r>
          </w:p>
        </w:tc>
        <w:tc>
          <w:tcPr>
            <w:tcW w:w="397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2E2B48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تحديات المواءمة المستمرة بين التقنية والمتطلبات الشرعية.</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7E34BEA3"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3.85</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8826F85"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0.82</w:t>
            </w:r>
          </w:p>
        </w:tc>
        <w:tc>
          <w:tcPr>
            <w:tcW w:w="1236"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EFD2858"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r w:rsidR="00326DB9" w:rsidRPr="004366F8" w14:paraId="06DBA228"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2DC340A"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5</w:t>
            </w:r>
          </w:p>
        </w:tc>
        <w:tc>
          <w:tcPr>
            <w:tcW w:w="397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4C52712"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مقاومة التغيير من قبل بعض الكوادر البشرية التقليدية.</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A78A34C"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3.45</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411D7892"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1.05</w:t>
            </w:r>
          </w:p>
        </w:tc>
        <w:tc>
          <w:tcPr>
            <w:tcW w:w="1236"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2A74A57"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متوسط</w:t>
            </w:r>
          </w:p>
        </w:tc>
      </w:tr>
      <w:tr w:rsidR="00326DB9" w:rsidRPr="004366F8" w14:paraId="60C267A1" w14:textId="77777777" w:rsidTr="007B65BF">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32E89500"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w:t>
            </w:r>
          </w:p>
        </w:tc>
        <w:tc>
          <w:tcPr>
            <w:tcW w:w="3974"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1FA8EAE2"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المتوسط العام للمحور الرابع</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2E479753"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3.98</w:t>
            </w:r>
          </w:p>
        </w:tc>
        <w:tc>
          <w:tcPr>
            <w:tcW w:w="1590" w:type="dxa"/>
            <w:tcBorders>
              <w:top w:val="single" w:sz="6" w:space="0" w:color="auto"/>
              <w:left w:val="single" w:sz="6" w:space="0" w:color="auto"/>
              <w:bottom w:val="single" w:sz="6" w:space="0" w:color="auto"/>
              <w:right w:val="single" w:sz="6" w:space="0" w:color="auto"/>
            </w:tcBorders>
            <w:tcMar>
              <w:top w:w="240" w:type="dxa"/>
              <w:left w:w="180" w:type="dxa"/>
              <w:bottom w:w="240" w:type="dxa"/>
              <w:right w:w="0" w:type="dxa"/>
            </w:tcMar>
            <w:vAlign w:val="center"/>
            <w:hideMark/>
          </w:tcPr>
          <w:p w14:paraId="0B851FFA"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0.81</w:t>
            </w:r>
          </w:p>
        </w:tc>
        <w:tc>
          <w:tcPr>
            <w:tcW w:w="1236"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D285E9D" w14:textId="77777777" w:rsidR="00326DB9" w:rsidRPr="004366F8" w:rsidRDefault="00326DB9" w:rsidP="00D132F3">
            <w:pPr>
              <w:bidi/>
              <w:spacing w:after="0" w:line="240" w:lineRule="auto"/>
              <w:jc w:val="lowKashida"/>
              <w:rPr>
                <w:rFonts w:ascii="Traditional Arabic" w:hAnsi="Traditional Arabic" w:cs="Traditional Arabic"/>
                <w:sz w:val="32"/>
                <w:szCs w:val="32"/>
                <w:rtl/>
              </w:rPr>
            </w:pPr>
            <w:r w:rsidRPr="004366F8">
              <w:rPr>
                <w:rFonts w:ascii="Traditional Arabic" w:hAnsi="Traditional Arabic" w:cs="Traditional Arabic"/>
                <w:sz w:val="32"/>
                <w:szCs w:val="32"/>
                <w:rtl/>
              </w:rPr>
              <w:t>مرتفع</w:t>
            </w:r>
          </w:p>
        </w:tc>
      </w:tr>
    </w:tbl>
    <w:p w14:paraId="1D0E66FA" w14:textId="2166AA5C" w:rsidR="00326DB9" w:rsidRDefault="00326DB9" w:rsidP="00D132F3">
      <w:pPr>
        <w:bidi/>
        <w:spacing w:after="0" w:line="240" w:lineRule="auto"/>
        <w:jc w:val="lowKashida"/>
        <w:rPr>
          <w:rFonts w:ascii="Traditional Arabic" w:hAnsi="Traditional Arabic" w:cs="Traditional Arabic"/>
          <w:sz w:val="32"/>
          <w:szCs w:val="32"/>
          <w:rtl/>
        </w:rPr>
      </w:pPr>
      <w:r w:rsidRPr="00EC3F41">
        <w:rPr>
          <w:rFonts w:ascii="Traditional Arabic" w:hAnsi="Traditional Arabic" w:cs="Traditional Arabic"/>
          <w:sz w:val="32"/>
          <w:szCs w:val="32"/>
          <w:rtl/>
        </w:rPr>
        <w:t xml:space="preserve">تحليل النتائج: يُظهر هذا المحور وعياً "مرتفعاً" بالمخاطر </w:t>
      </w:r>
      <w:r w:rsidRPr="00726425">
        <w:rPr>
          <w:rFonts w:ascii="Traditional Arabic" w:hAnsi="Traditional Arabic" w:cs="Traditional Arabic"/>
          <w:rtl/>
        </w:rPr>
        <w:t>(3.98)،</w:t>
      </w:r>
      <w:r w:rsidRPr="00EC3F41">
        <w:rPr>
          <w:rFonts w:ascii="Traditional Arabic" w:hAnsi="Traditional Arabic" w:cs="Traditional Arabic"/>
          <w:sz w:val="32"/>
          <w:szCs w:val="32"/>
          <w:rtl/>
        </w:rPr>
        <w:t xml:space="preserve"> حيث تمثل "التهديدات السيبرانية" و"الفراغ التشريعي" التحديات الأكبر بمتوسطات فاقت </w:t>
      </w:r>
      <w:r w:rsidRPr="00726425">
        <w:rPr>
          <w:rFonts w:ascii="Traditional Arabic" w:hAnsi="Traditional Arabic" w:cs="Traditional Arabic"/>
          <w:rtl/>
        </w:rPr>
        <w:t>(4.20).</w:t>
      </w:r>
      <w:r w:rsidRPr="00EC3F41">
        <w:rPr>
          <w:rFonts w:ascii="Traditional Arabic" w:hAnsi="Traditional Arabic" w:cs="Traditional Arabic"/>
          <w:sz w:val="32"/>
          <w:szCs w:val="32"/>
          <w:rtl/>
        </w:rPr>
        <w:t xml:space="preserve"> وتعني هذه النتائج أن العائق الحقيقي أمام التحول الرقمي الكامل ليس تقنياً فحسب، بل هو عائق تنظيمي وتشريعي وأمني، مما يستدعي تدخلاً من الجهات الرقابية لتطوير أطر قانونية تواكب العصر الرقمي.</w:t>
      </w:r>
    </w:p>
    <w:p w14:paraId="7AA25260" w14:textId="77777777" w:rsidR="00506002" w:rsidRPr="000C5E70" w:rsidRDefault="00506002" w:rsidP="00506002">
      <w:pPr>
        <w:bidi/>
        <w:spacing w:after="0" w:line="240" w:lineRule="auto"/>
        <w:jc w:val="lowKashida"/>
        <w:rPr>
          <w:rFonts w:ascii="Traditional Arabic" w:hAnsi="Traditional Arabic" w:cs="Traditional Arabic"/>
          <w:sz w:val="32"/>
          <w:szCs w:val="32"/>
          <w:rtl/>
        </w:rPr>
      </w:pPr>
    </w:p>
    <w:p w14:paraId="4C915658" w14:textId="403F2D9A" w:rsidR="00326DB9" w:rsidRDefault="00326DB9" w:rsidP="00D132F3">
      <w:pPr>
        <w:bidi/>
        <w:spacing w:after="0" w:line="240" w:lineRule="auto"/>
        <w:jc w:val="lowKashida"/>
        <w:rPr>
          <w:rFonts w:ascii="Traditional Arabic" w:eastAsia="Times New Roman" w:hAnsi="Traditional Arabic" w:cs="Traditional Arabic"/>
          <w:kern w:val="0"/>
          <w:sz w:val="32"/>
          <w:szCs w:val="32"/>
          <w:rtl/>
          <w14:ligatures w14:val="none"/>
        </w:rPr>
      </w:pPr>
      <w:r>
        <w:rPr>
          <w:rFonts w:ascii="Traditional Arabic" w:hAnsi="Traditional Arabic" w:cs="Traditional Arabic" w:hint="cs"/>
          <w:b/>
          <w:bCs/>
          <w:sz w:val="32"/>
          <w:szCs w:val="32"/>
          <w:rtl/>
        </w:rPr>
        <w:lastRenderedPageBreak/>
        <w:t>الخلاصة:</w:t>
      </w:r>
      <w:r w:rsidRPr="000C5E70">
        <w:rPr>
          <w:rFonts w:ascii="Traditional Arabic" w:eastAsia="Times New Roman" w:hAnsi="Traditional Arabic" w:cs="Traditional Arabic" w:hint="cs"/>
          <w:kern w:val="0"/>
          <w:sz w:val="32"/>
          <w:szCs w:val="32"/>
          <w:rtl/>
          <w14:ligatures w14:val="none"/>
        </w:rPr>
        <w:t xml:space="preserve"> خلص</w:t>
      </w:r>
      <w:r w:rsidRPr="000C5E70">
        <w:rPr>
          <w:rFonts w:ascii="Traditional Arabic" w:eastAsia="Times New Roman" w:hAnsi="Traditional Arabic" w:cs="Traditional Arabic" w:hint="eastAsia"/>
          <w:kern w:val="0"/>
          <w:sz w:val="32"/>
          <w:szCs w:val="32"/>
          <w:rtl/>
          <w14:ligatures w14:val="none"/>
        </w:rPr>
        <w:t>ت</w:t>
      </w:r>
      <w:r w:rsidRPr="000C5E70">
        <w:rPr>
          <w:rFonts w:ascii="Traditional Arabic" w:eastAsia="Times New Roman" w:hAnsi="Traditional Arabic" w:cs="Traditional Arabic"/>
          <w:kern w:val="0"/>
          <w:sz w:val="32"/>
          <w:szCs w:val="32"/>
          <w:rtl/>
          <w14:ligatures w14:val="none"/>
        </w:rPr>
        <w:t xml:space="preserve"> هذه الدراسة إلى أن التحول الرقمي لنظم المعلومات المحاسبية يمثل عاملاً محورياً في تعزيز كفاءة إدارة المخاطر الائتمانية داخل البنوك الإسلامية الكويتية. فقد أسهمت النظم الرقمية المتقدمة في تحسين جودة البيانات ودقتها، وتسريع عملية اتخاذ القرارات الائتمانية، مع مراعاة الالتزام بالضوابط الشرعية والتنظيمية. كما أظهرت النتائج أن الاستثمار في التقنيات الحديثة وتطوير الكفاءات البشرية يشكلان ركيزة أساسية لتحقيق تحول رقمي فعّال ومستدام. وبذلك، فإن تبني استراتيجيات شاملة للتحول الرقمي يعد ضرورة استراتيجية لدعم الاستقرار المالي وتعزيز القدرة التنافسية للبنوك الإسلامية في بيئة مصرفية عالمية تتسم بالتغير والتحدي المستمر</w:t>
      </w:r>
      <w:r>
        <w:rPr>
          <w:rFonts w:ascii="Traditional Arabic" w:eastAsia="Times New Roman" w:hAnsi="Traditional Arabic" w:cs="Traditional Arabic" w:hint="cs"/>
          <w:kern w:val="0"/>
          <w:sz w:val="32"/>
          <w:szCs w:val="32"/>
          <w:rtl/>
          <w14:ligatures w14:val="none"/>
        </w:rPr>
        <w:t>،</w:t>
      </w:r>
      <w:r w:rsidR="00932913" w:rsidRPr="00932913">
        <w:rPr>
          <w:rFonts w:ascii="Traditional Arabic" w:eastAsia="Times New Roman" w:hAnsi="Traditional Arabic" w:cs="Traditional Arabic"/>
          <w:kern w:val="0"/>
          <w:sz w:val="32"/>
          <w:szCs w:val="32"/>
          <w14:ligatures w14:val="none"/>
        </w:rPr>
        <w:t>وبالنظر إلى أن حجم الأثر في الدراسة التحليلية جاء متوسطاً، فإن النتائج تدعم جدوى التحول الرقمي دون أن تبرر المبالغة في قوة تأثيره، وهو ما يستلزم تطبيقاً تدريجياً وتقييماً دورياً لفعاليته ومخاطره.</w:t>
      </w:r>
      <w:r>
        <w:rPr>
          <w:rFonts w:ascii="Traditional Arabic" w:eastAsia="Times New Roman" w:hAnsi="Traditional Arabic" w:cs="Traditional Arabic" w:hint="cs"/>
          <w:kern w:val="0"/>
          <w:sz w:val="32"/>
          <w:szCs w:val="32"/>
          <w:rtl/>
          <w14:ligatures w14:val="none"/>
        </w:rPr>
        <w:t xml:space="preserve"> وتوصل الباحث إلى </w:t>
      </w:r>
      <w:r w:rsidRPr="004E45DD">
        <w:rPr>
          <w:rFonts w:ascii="Traditional Arabic" w:eastAsia="Times New Roman" w:hAnsi="Traditional Arabic" w:cs="Traditional Arabic" w:hint="cs"/>
          <w:kern w:val="0"/>
          <w:sz w:val="32"/>
          <w:szCs w:val="32"/>
          <w:rtl/>
          <w14:ligatures w14:val="none"/>
        </w:rPr>
        <w:t>النتائج التالية</w:t>
      </w:r>
      <w:r>
        <w:rPr>
          <w:rFonts w:ascii="Traditional Arabic" w:eastAsia="Times New Roman" w:hAnsi="Traditional Arabic" w:cs="Traditional Arabic" w:hint="cs"/>
          <w:kern w:val="0"/>
          <w:sz w:val="32"/>
          <w:szCs w:val="32"/>
          <w:rtl/>
          <w14:ligatures w14:val="none"/>
        </w:rPr>
        <w:t>.</w:t>
      </w:r>
    </w:p>
    <w:p w14:paraId="52C5492E" w14:textId="77777777" w:rsidR="00506002" w:rsidRDefault="00506002" w:rsidP="00506002">
      <w:pPr>
        <w:bidi/>
        <w:spacing w:after="0" w:line="240" w:lineRule="auto"/>
        <w:jc w:val="lowKashida"/>
        <w:rPr>
          <w:rFonts w:ascii="Traditional Arabic" w:eastAsia="Times New Roman" w:hAnsi="Traditional Arabic" w:cs="Traditional Arabic"/>
          <w:kern w:val="0"/>
          <w:sz w:val="32"/>
          <w:szCs w:val="32"/>
          <w:rtl/>
          <w14:ligatures w14:val="none"/>
        </w:rPr>
      </w:pPr>
    </w:p>
    <w:p w14:paraId="7EAA396B" w14:textId="77777777" w:rsidR="00326DB9" w:rsidRDefault="00326DB9" w:rsidP="00D132F3">
      <w:pPr>
        <w:bidi/>
        <w:spacing w:after="0" w:line="240" w:lineRule="auto"/>
        <w:jc w:val="lowKashida"/>
        <w:rPr>
          <w:rFonts w:ascii="Traditional Arabic" w:hAnsi="Traditional Arabic" w:cs="Traditional Arabic"/>
          <w:sz w:val="32"/>
          <w:szCs w:val="32"/>
          <w:rtl/>
        </w:rPr>
      </w:pPr>
      <w:r>
        <w:rPr>
          <w:rFonts w:ascii="Traditional Arabic" w:eastAsia="Times New Roman" w:hAnsi="Traditional Arabic" w:cs="Traditional Arabic" w:hint="cs"/>
          <w:kern w:val="0"/>
          <w:sz w:val="32"/>
          <w:szCs w:val="32"/>
          <w:rtl/>
          <w14:ligatures w14:val="none"/>
        </w:rPr>
        <w:t>النتائ</w:t>
      </w:r>
      <w:r>
        <w:rPr>
          <w:rFonts w:ascii="Traditional Arabic" w:eastAsia="Times New Roman" w:hAnsi="Traditional Arabic" w:cs="Traditional Arabic" w:hint="eastAsia"/>
          <w:kern w:val="0"/>
          <w:sz w:val="32"/>
          <w:szCs w:val="32"/>
          <w:rtl/>
          <w14:ligatures w14:val="none"/>
        </w:rPr>
        <w:t>ج</w:t>
      </w:r>
      <w:r>
        <w:rPr>
          <w:rFonts w:ascii="Traditional Arabic" w:eastAsia="Times New Roman" w:hAnsi="Traditional Arabic" w:cs="Traditional Arabic" w:hint="cs"/>
          <w:kern w:val="0"/>
          <w:sz w:val="32"/>
          <w:szCs w:val="32"/>
          <w:rtl/>
          <w14:ligatures w14:val="none"/>
        </w:rPr>
        <w:t xml:space="preserve"> والتوصيات:</w:t>
      </w:r>
    </w:p>
    <w:p w14:paraId="6369BAB3" w14:textId="77777777" w:rsidR="00326DB9" w:rsidRDefault="00326DB9" w:rsidP="00D132F3">
      <w:pPr>
        <w:bidi/>
        <w:spacing w:after="0" w:line="240" w:lineRule="auto"/>
        <w:jc w:val="lowKashida"/>
        <w:rPr>
          <w:rFonts w:ascii="Traditional Arabic" w:hAnsi="Traditional Arabic" w:cs="Traditional Arabic"/>
          <w:sz w:val="32"/>
          <w:szCs w:val="32"/>
          <w:rtl/>
        </w:rPr>
      </w:pPr>
      <w:r w:rsidRPr="00680376">
        <w:rPr>
          <w:rFonts w:ascii="Traditional Arabic" w:hAnsi="Traditional Arabic" w:cs="Traditional Arabic"/>
          <w:sz w:val="32"/>
          <w:szCs w:val="32"/>
          <w:rtl/>
        </w:rPr>
        <w:t>1.أثبتت الدراسة أن التحول الرقمي لنظم المعلومات المحاسبية في البنوك الإسلامية الكويتية قد ساهم بفعالية في تحسين جودة ودقة البيانات المالية والائتمانية، مما انعكس إيجابًا على مستوى الشفافية والموثوقية في عملية اتخاذ القرار.</w:t>
      </w:r>
    </w:p>
    <w:p w14:paraId="6A2C568B" w14:textId="77777777" w:rsidR="00326DB9" w:rsidRPr="008412A7" w:rsidRDefault="00326DB9" w:rsidP="00D132F3">
      <w:pPr>
        <w:bidi/>
        <w:spacing w:after="0" w:line="240" w:lineRule="auto"/>
        <w:jc w:val="lowKashida"/>
        <w:rPr>
          <w:rFonts w:ascii="Traditional Arabic" w:hAnsi="Traditional Arabic" w:cs="Traditional Arabic"/>
          <w:sz w:val="32"/>
          <w:szCs w:val="32"/>
          <w:rtl/>
        </w:rPr>
      </w:pPr>
      <w:r w:rsidRPr="00680376">
        <w:rPr>
          <w:rFonts w:ascii="Traditional Arabic" w:hAnsi="Traditional Arabic" w:cs="Traditional Arabic"/>
          <w:sz w:val="32"/>
          <w:szCs w:val="32"/>
          <w:rtl/>
        </w:rPr>
        <w:t>2</w:t>
      </w:r>
      <w:r>
        <w:rPr>
          <w:rFonts w:ascii="Traditional Arabic" w:hAnsi="Traditional Arabic" w:cs="Traditional Arabic" w:hint="cs"/>
          <w:sz w:val="32"/>
          <w:szCs w:val="32"/>
          <w:rtl/>
        </w:rPr>
        <w:t>-</w:t>
      </w:r>
      <w:r w:rsidRPr="00680376">
        <w:rPr>
          <w:rFonts w:ascii="Traditional Arabic" w:hAnsi="Traditional Arabic" w:cs="Traditional Arabic"/>
          <w:sz w:val="32"/>
          <w:szCs w:val="32"/>
          <w:rtl/>
        </w:rPr>
        <w:t>أظهرت النتائج أن التقنيات الرقمية المتقدمة مثل الذكاء الاصطناعي وتحليلات البيانات الضخمة، عند دمجها في النظم المحاسبية، عززت دقة نماذج قياس المخاطر الائتمانية وساهمت في خفض معدلات التعثر المالي.</w:t>
      </w:r>
    </w:p>
    <w:p w14:paraId="4200F374" w14:textId="77777777" w:rsidR="00326DB9" w:rsidRPr="008412A7" w:rsidRDefault="00326DB9" w:rsidP="00D132F3">
      <w:pPr>
        <w:bidi/>
        <w:spacing w:after="0" w:line="240" w:lineRule="auto"/>
        <w:jc w:val="lowKashida"/>
        <w:rPr>
          <w:rFonts w:ascii="Traditional Arabic" w:hAnsi="Traditional Arabic" w:cs="Traditional Arabic"/>
          <w:sz w:val="32"/>
          <w:szCs w:val="32"/>
          <w:rtl/>
        </w:rPr>
      </w:pPr>
      <w:r>
        <w:rPr>
          <w:rFonts w:ascii="Traditional Arabic" w:hAnsi="Traditional Arabic" w:cs="Traditional Arabic" w:hint="cs"/>
          <w:sz w:val="32"/>
          <w:szCs w:val="32"/>
          <w:rtl/>
        </w:rPr>
        <w:t>3-</w:t>
      </w:r>
      <w:r w:rsidRPr="008412A7">
        <w:rPr>
          <w:rFonts w:ascii="Traditional Arabic" w:hAnsi="Traditional Arabic" w:cs="Traditional Arabic"/>
          <w:sz w:val="32"/>
          <w:szCs w:val="32"/>
          <w:rtl/>
        </w:rPr>
        <w:t xml:space="preserve"> أسهم التحول الرقمي في الارتقاء بجودة البيانات المالية ودقتها، مما انعكس إيجاباً على سرعة إعداد التقارير وانخفاض الأخطاء البشرية، وتعزيز الشفافية في اتخاذ القرار الائتماني (متوسط </w:t>
      </w:r>
      <w:r w:rsidRPr="002B2BE5">
        <w:rPr>
          <w:rFonts w:ascii="Traditional Arabic" w:hAnsi="Traditional Arabic" w:cs="Traditional Arabic"/>
          <w:rtl/>
        </w:rPr>
        <w:t>4.16</w:t>
      </w:r>
      <w:r w:rsidRPr="008412A7">
        <w:rPr>
          <w:rFonts w:ascii="Traditional Arabic" w:hAnsi="Traditional Arabic" w:cs="Traditional Arabic"/>
          <w:sz w:val="32"/>
          <w:szCs w:val="32"/>
          <w:rtl/>
        </w:rPr>
        <w:t>)</w:t>
      </w:r>
      <w:r w:rsidRPr="008412A7">
        <w:rPr>
          <w:rFonts w:ascii="Traditional Arabic" w:hAnsi="Traditional Arabic" w:cs="Traditional Arabic"/>
          <w:sz w:val="32"/>
          <w:szCs w:val="32"/>
        </w:rPr>
        <w:t>.</w:t>
      </w:r>
    </w:p>
    <w:p w14:paraId="398884A1" w14:textId="77777777" w:rsidR="00326DB9" w:rsidRPr="008412A7" w:rsidRDefault="00326DB9" w:rsidP="00D132F3">
      <w:pPr>
        <w:bidi/>
        <w:spacing w:after="0" w:line="240" w:lineRule="auto"/>
        <w:jc w:val="lowKashida"/>
        <w:rPr>
          <w:rFonts w:ascii="Traditional Arabic" w:hAnsi="Traditional Arabic" w:cs="Traditional Arabic"/>
          <w:sz w:val="32"/>
          <w:szCs w:val="32"/>
          <w:rtl/>
        </w:rPr>
      </w:pPr>
      <w:r>
        <w:rPr>
          <w:rFonts w:ascii="Traditional Arabic" w:hAnsi="Traditional Arabic" w:cs="Traditional Arabic" w:hint="cs"/>
          <w:sz w:val="32"/>
          <w:szCs w:val="32"/>
          <w:rtl/>
        </w:rPr>
        <w:t>4-</w:t>
      </w:r>
      <w:r w:rsidRPr="008412A7">
        <w:rPr>
          <w:rFonts w:ascii="Traditional Arabic" w:hAnsi="Traditional Arabic" w:cs="Traditional Arabic"/>
          <w:sz w:val="32"/>
          <w:szCs w:val="32"/>
          <w:rtl/>
        </w:rPr>
        <w:t xml:space="preserve"> تصدّر الامتثال الشرعي الرقمي سلّم الأولويات الاستراتيجية بأعلى متوسط في الدراسة (</w:t>
      </w:r>
      <w:r w:rsidRPr="002B2BE5">
        <w:rPr>
          <w:rFonts w:ascii="Traditional Arabic" w:hAnsi="Traditional Arabic" w:cs="Traditional Arabic"/>
          <w:rtl/>
        </w:rPr>
        <w:t>4.58</w:t>
      </w:r>
      <w:r w:rsidRPr="008412A7">
        <w:rPr>
          <w:rFonts w:ascii="Traditional Arabic" w:hAnsi="Traditional Arabic" w:cs="Traditional Arabic"/>
          <w:sz w:val="32"/>
          <w:szCs w:val="32"/>
          <w:rtl/>
        </w:rPr>
        <w:t>)، مما يؤكد أن دمج الضوابط الشرعية في خوارزميات النظم المحاسبية شرط جوهري لا تنازل عنه</w:t>
      </w:r>
      <w:r w:rsidRPr="008412A7">
        <w:rPr>
          <w:rFonts w:ascii="Traditional Arabic" w:hAnsi="Traditional Arabic" w:cs="Traditional Arabic"/>
          <w:sz w:val="32"/>
          <w:szCs w:val="32"/>
        </w:rPr>
        <w:t>.</w:t>
      </w:r>
    </w:p>
    <w:p w14:paraId="4554E603" w14:textId="77777777" w:rsidR="00326DB9" w:rsidRPr="008412A7" w:rsidRDefault="00326DB9" w:rsidP="00D132F3">
      <w:pPr>
        <w:bidi/>
        <w:spacing w:after="0" w:line="240" w:lineRule="auto"/>
        <w:jc w:val="lowKashida"/>
        <w:rPr>
          <w:rFonts w:ascii="Traditional Arabic" w:hAnsi="Traditional Arabic" w:cs="Traditional Arabic"/>
          <w:sz w:val="32"/>
          <w:szCs w:val="32"/>
          <w:rtl/>
        </w:rPr>
      </w:pPr>
      <w:r>
        <w:rPr>
          <w:rFonts w:ascii="Traditional Arabic" w:hAnsi="Traditional Arabic" w:cs="Traditional Arabic" w:hint="cs"/>
          <w:sz w:val="32"/>
          <w:szCs w:val="32"/>
          <w:rtl/>
        </w:rPr>
        <w:t>5-</w:t>
      </w:r>
      <w:r w:rsidRPr="008412A7">
        <w:rPr>
          <w:rFonts w:ascii="Traditional Arabic" w:hAnsi="Traditional Arabic" w:cs="Traditional Arabic"/>
          <w:sz w:val="32"/>
          <w:szCs w:val="32"/>
          <w:rtl/>
        </w:rPr>
        <w:t xml:space="preserve"> كشفت الدراسة عن فجوة تقنية واضحة، إذ لا تزال تقنيات الذكاء الاصطناعي والبلوك تشين عند مستوى متوسط (</w:t>
      </w:r>
      <w:r w:rsidRPr="002B2BE5">
        <w:rPr>
          <w:rFonts w:ascii="Traditional Arabic" w:hAnsi="Traditional Arabic" w:cs="Traditional Arabic"/>
          <w:rtl/>
        </w:rPr>
        <w:t>3</w:t>
      </w:r>
      <w:r w:rsidRPr="008412A7">
        <w:rPr>
          <w:rFonts w:ascii="Traditional Arabic" w:hAnsi="Traditional Arabic" w:cs="Traditional Arabic"/>
          <w:sz w:val="32"/>
          <w:szCs w:val="32"/>
          <w:rtl/>
        </w:rPr>
        <w:t>.</w:t>
      </w:r>
      <w:r w:rsidRPr="002B2BE5">
        <w:rPr>
          <w:rFonts w:ascii="Traditional Arabic" w:hAnsi="Traditional Arabic" w:cs="Traditional Arabic"/>
          <w:rtl/>
        </w:rPr>
        <w:t>25 و3.40</w:t>
      </w:r>
      <w:r w:rsidRPr="008412A7">
        <w:rPr>
          <w:rFonts w:ascii="Traditional Arabic" w:hAnsi="Traditional Arabic" w:cs="Traditional Arabic"/>
          <w:sz w:val="32"/>
          <w:szCs w:val="32"/>
          <w:rtl/>
        </w:rPr>
        <w:t>)، مما يستوجب استثمارات مستهدفة للانتقال نحو الأنظمة الذكية</w:t>
      </w:r>
      <w:r w:rsidRPr="008412A7">
        <w:rPr>
          <w:rFonts w:ascii="Traditional Arabic" w:hAnsi="Traditional Arabic" w:cs="Traditional Arabic"/>
          <w:sz w:val="32"/>
          <w:szCs w:val="32"/>
        </w:rPr>
        <w:t>.</w:t>
      </w:r>
    </w:p>
    <w:p w14:paraId="6508CC8A" w14:textId="77777777" w:rsidR="00326DB9" w:rsidRPr="008412A7" w:rsidRDefault="00326DB9" w:rsidP="00D132F3">
      <w:pPr>
        <w:bidi/>
        <w:spacing w:after="0" w:line="240" w:lineRule="auto"/>
        <w:jc w:val="lowKashida"/>
        <w:rPr>
          <w:rFonts w:ascii="Traditional Arabic" w:hAnsi="Traditional Arabic" w:cs="Traditional Arabic"/>
          <w:sz w:val="32"/>
          <w:szCs w:val="32"/>
          <w:rtl/>
        </w:rPr>
      </w:pPr>
      <w:r>
        <w:rPr>
          <w:rFonts w:ascii="Traditional Arabic" w:hAnsi="Traditional Arabic" w:cs="Traditional Arabic" w:hint="cs"/>
          <w:sz w:val="32"/>
          <w:szCs w:val="32"/>
          <w:rtl/>
        </w:rPr>
        <w:t>6</w:t>
      </w:r>
      <w:r w:rsidRPr="008412A7">
        <w:rPr>
          <w:rFonts w:ascii="Traditional Arabic" w:hAnsi="Traditional Arabic" w:cs="Traditional Arabic"/>
          <w:sz w:val="32"/>
          <w:szCs w:val="32"/>
          <w:rtl/>
        </w:rPr>
        <w:t xml:space="preserve"> تمثّل التهديدات السيبرانية (</w:t>
      </w:r>
      <w:r w:rsidRPr="002B2BE5">
        <w:rPr>
          <w:rFonts w:ascii="Traditional Arabic" w:hAnsi="Traditional Arabic" w:cs="Traditional Arabic"/>
          <w:rtl/>
        </w:rPr>
        <w:t>4.42</w:t>
      </w:r>
      <w:r w:rsidRPr="008412A7">
        <w:rPr>
          <w:rFonts w:ascii="Traditional Arabic" w:hAnsi="Traditional Arabic" w:cs="Traditional Arabic"/>
          <w:sz w:val="32"/>
          <w:szCs w:val="32"/>
          <w:rtl/>
        </w:rPr>
        <w:t>) والفراغ التشريعي (</w:t>
      </w:r>
      <w:r w:rsidRPr="002B2BE5">
        <w:rPr>
          <w:rFonts w:ascii="Traditional Arabic" w:hAnsi="Traditional Arabic" w:cs="Traditional Arabic"/>
          <w:rtl/>
        </w:rPr>
        <w:t>4.28</w:t>
      </w:r>
      <w:r w:rsidRPr="008412A7">
        <w:rPr>
          <w:rFonts w:ascii="Traditional Arabic" w:hAnsi="Traditional Arabic" w:cs="Traditional Arabic"/>
          <w:sz w:val="32"/>
          <w:szCs w:val="32"/>
          <w:rtl/>
        </w:rPr>
        <w:t>) أبرز معوّقات اكتمال التحول الرقمي، مما يستدعي تدخلاً عاجلاً من الجهات الرقابية لبناء أطر قانونية ملائمة</w:t>
      </w:r>
      <w:r w:rsidRPr="008412A7">
        <w:rPr>
          <w:rFonts w:ascii="Traditional Arabic" w:hAnsi="Traditional Arabic" w:cs="Traditional Arabic"/>
          <w:sz w:val="32"/>
          <w:szCs w:val="32"/>
        </w:rPr>
        <w:t>.</w:t>
      </w:r>
    </w:p>
    <w:p w14:paraId="1D9BC6F7" w14:textId="77777777" w:rsidR="00326DB9" w:rsidRDefault="00326DB9" w:rsidP="00D132F3">
      <w:pPr>
        <w:bidi/>
        <w:spacing w:after="0" w:line="240" w:lineRule="auto"/>
        <w:jc w:val="lowKashida"/>
        <w:rPr>
          <w:rFonts w:ascii="Traditional Arabic" w:hAnsi="Traditional Arabic" w:cs="Traditional Arabic"/>
          <w:sz w:val="32"/>
          <w:szCs w:val="32"/>
        </w:rPr>
      </w:pPr>
      <w:r>
        <w:rPr>
          <w:rFonts w:ascii="Traditional Arabic" w:hAnsi="Traditional Arabic" w:cs="Traditional Arabic" w:hint="cs"/>
          <w:sz w:val="32"/>
          <w:szCs w:val="32"/>
          <w:rtl/>
        </w:rPr>
        <w:t>7-</w:t>
      </w:r>
      <w:r w:rsidRPr="00680376">
        <w:rPr>
          <w:rFonts w:ascii="Traditional Arabic" w:hAnsi="Traditional Arabic" w:cs="Traditional Arabic"/>
          <w:sz w:val="32"/>
          <w:szCs w:val="32"/>
          <w:rtl/>
        </w:rPr>
        <w:t xml:space="preserve"> أثبتت الدراسة أن التكامل بين التحول الرقمي والضوابط الشرعية يُشكّل ميزة تنافسية مستدامة للبنوك الإسلامية، وركيزةً أساسية لتحقيق الاستقرار المالي على المدى البعيد.</w:t>
      </w:r>
    </w:p>
    <w:p w14:paraId="0B84F97A" w14:textId="71C73B06" w:rsidR="00D132F3" w:rsidRDefault="00D132F3" w:rsidP="00D132F3">
      <w:pPr>
        <w:bidi/>
        <w:spacing w:after="0" w:line="240" w:lineRule="auto"/>
        <w:jc w:val="lowKashida"/>
        <w:rPr>
          <w:rFonts w:ascii="Traditional Arabic" w:hAnsi="Traditional Arabic" w:cs="Traditional Arabic"/>
          <w:sz w:val="32"/>
          <w:szCs w:val="32"/>
          <w:rtl/>
        </w:rPr>
      </w:pPr>
    </w:p>
    <w:p w14:paraId="03305C81" w14:textId="77777777" w:rsidR="009025EC" w:rsidRPr="008412A7" w:rsidRDefault="009025EC" w:rsidP="009025EC">
      <w:pPr>
        <w:bidi/>
        <w:spacing w:after="0" w:line="240" w:lineRule="auto"/>
        <w:jc w:val="lowKashida"/>
        <w:rPr>
          <w:rFonts w:ascii="Traditional Arabic" w:hAnsi="Traditional Arabic" w:cs="Traditional Arabic"/>
          <w:sz w:val="32"/>
          <w:szCs w:val="32"/>
        </w:rPr>
      </w:pPr>
    </w:p>
    <w:p w14:paraId="7C2CBCBB" w14:textId="77777777" w:rsidR="00326DB9" w:rsidRPr="004E45DD" w:rsidRDefault="00326DB9" w:rsidP="00D132F3">
      <w:pPr>
        <w:tabs>
          <w:tab w:val="left" w:pos="2017"/>
        </w:tabs>
        <w:bidi/>
        <w:spacing w:after="0" w:line="240" w:lineRule="auto"/>
        <w:jc w:val="lowKashida"/>
      </w:pPr>
      <w:r w:rsidRPr="004E45DD">
        <w:rPr>
          <w:rStyle w:val="Strong"/>
          <w:rFonts w:ascii="Traditional Arabic" w:hAnsi="Traditional Arabic" w:cs="Traditional Arabic"/>
          <w:sz w:val="32"/>
          <w:szCs w:val="32"/>
          <w:rtl/>
        </w:rPr>
        <w:lastRenderedPageBreak/>
        <w:t>التوصيات</w:t>
      </w:r>
      <w:r w:rsidRPr="004E45DD">
        <w:rPr>
          <w:rStyle w:val="Strong"/>
          <w:rFonts w:ascii="Traditional Arabic" w:hAnsi="Traditional Arabic" w:cs="Traditional Arabic"/>
          <w:sz w:val="32"/>
          <w:szCs w:val="32"/>
        </w:rPr>
        <w:t>:</w:t>
      </w:r>
      <w:r>
        <w:rPr>
          <w:rStyle w:val="Strong"/>
          <w:rFonts w:ascii="Traditional Arabic" w:hAnsi="Traditional Arabic" w:cs="Traditional Arabic"/>
          <w:sz w:val="32"/>
          <w:szCs w:val="32"/>
        </w:rPr>
        <w:tab/>
      </w:r>
    </w:p>
    <w:p w14:paraId="5B514B51" w14:textId="77777777" w:rsidR="00326DB9" w:rsidRPr="007A62B9" w:rsidRDefault="00326DB9" w:rsidP="00D132F3">
      <w:pPr>
        <w:pStyle w:val="NormalWeb"/>
        <w:numPr>
          <w:ilvl w:val="0"/>
          <w:numId w:val="41"/>
        </w:numPr>
        <w:bidi/>
        <w:spacing w:before="0" w:beforeAutospacing="0" w:after="0" w:afterAutospacing="0"/>
        <w:jc w:val="lowKashida"/>
        <w:rPr>
          <w:rFonts w:ascii="Traditional Arabic" w:hAnsi="Traditional Arabic" w:cs="Traditional Arabic"/>
          <w:sz w:val="32"/>
          <w:szCs w:val="32"/>
        </w:rPr>
      </w:pPr>
      <w:r w:rsidRPr="001971D7">
        <w:rPr>
          <w:rFonts w:ascii="Traditional Arabic" w:hAnsi="Traditional Arabic" w:cs="Traditional Arabic"/>
          <w:sz w:val="32"/>
          <w:szCs w:val="32"/>
          <w:rtl/>
        </w:rPr>
        <w:t xml:space="preserve">ضرورة قيام البنوك </w:t>
      </w:r>
      <w:r w:rsidRPr="007A62B9">
        <w:rPr>
          <w:rFonts w:ascii="Traditional Arabic" w:hAnsi="Traditional Arabic" w:cs="Traditional Arabic"/>
          <w:sz w:val="32"/>
          <w:szCs w:val="32"/>
          <w:rtl/>
        </w:rPr>
        <w:t xml:space="preserve">الإسلامية الكويتية </w:t>
      </w:r>
      <w:r w:rsidRPr="007A62B9">
        <w:rPr>
          <w:rStyle w:val="Strong"/>
          <w:rFonts w:ascii="Traditional Arabic" w:eastAsiaTheme="majorEastAsia" w:hAnsi="Traditional Arabic" w:cs="Traditional Arabic"/>
          <w:b w:val="0"/>
          <w:bCs w:val="0"/>
          <w:sz w:val="32"/>
          <w:szCs w:val="32"/>
          <w:rtl/>
        </w:rPr>
        <w:t>بزيادة الاستثمار في البنية التحتية الرقمية</w:t>
      </w:r>
      <w:r w:rsidRPr="007A62B9">
        <w:rPr>
          <w:rFonts w:ascii="Traditional Arabic" w:hAnsi="Traditional Arabic" w:cs="Traditional Arabic"/>
          <w:sz w:val="32"/>
          <w:szCs w:val="32"/>
          <w:rtl/>
        </w:rPr>
        <w:t xml:space="preserve"> وتبني حلول</w:t>
      </w:r>
      <w:r w:rsidRPr="007A62B9">
        <w:rPr>
          <w:rFonts w:ascii="Traditional Arabic" w:hAnsi="Traditional Arabic" w:cs="Traditional Arabic"/>
          <w:sz w:val="32"/>
          <w:szCs w:val="32"/>
        </w:rPr>
        <w:t xml:space="preserve"> </w:t>
      </w:r>
      <w:r w:rsidRPr="007A62B9">
        <w:rPr>
          <w:rFonts w:ascii="Traditional Arabic" w:hAnsi="Traditional Arabic" w:cs="Traditional Arabic"/>
          <w:sz w:val="32"/>
          <w:szCs w:val="32"/>
          <w:rtl/>
        </w:rPr>
        <w:t>متكاملة، بما يعزز من كفاءة نظم المعلومات المحاسبية</w:t>
      </w:r>
      <w:r w:rsidRPr="007A62B9">
        <w:rPr>
          <w:rFonts w:ascii="Traditional Arabic" w:hAnsi="Traditional Arabic" w:cs="Traditional Arabic"/>
          <w:sz w:val="32"/>
          <w:szCs w:val="32"/>
        </w:rPr>
        <w:t>.</w:t>
      </w:r>
    </w:p>
    <w:p w14:paraId="58C34627" w14:textId="77777777" w:rsidR="00326DB9" w:rsidRPr="007A62B9" w:rsidRDefault="00326DB9" w:rsidP="00D132F3">
      <w:pPr>
        <w:pStyle w:val="NormalWeb"/>
        <w:numPr>
          <w:ilvl w:val="0"/>
          <w:numId w:val="41"/>
        </w:numPr>
        <w:bidi/>
        <w:spacing w:before="0" w:beforeAutospacing="0" w:after="0" w:afterAutospacing="0"/>
        <w:jc w:val="lowKashida"/>
        <w:rPr>
          <w:rFonts w:ascii="Traditional Arabic" w:hAnsi="Traditional Arabic" w:cs="Traditional Arabic"/>
          <w:sz w:val="32"/>
          <w:szCs w:val="32"/>
        </w:rPr>
      </w:pPr>
      <w:r w:rsidRPr="007A62B9">
        <w:rPr>
          <w:rFonts w:ascii="Traditional Arabic" w:hAnsi="Traditional Arabic" w:cs="Traditional Arabic"/>
          <w:sz w:val="32"/>
          <w:szCs w:val="32"/>
          <w:rtl/>
        </w:rPr>
        <w:t xml:space="preserve">التوسع في استخدام </w:t>
      </w:r>
      <w:r w:rsidRPr="007A62B9">
        <w:rPr>
          <w:rStyle w:val="Strong"/>
          <w:rFonts w:ascii="Traditional Arabic" w:eastAsiaTheme="majorEastAsia" w:hAnsi="Traditional Arabic" w:cs="Traditional Arabic"/>
          <w:b w:val="0"/>
          <w:bCs w:val="0"/>
          <w:sz w:val="32"/>
          <w:szCs w:val="32"/>
          <w:rtl/>
        </w:rPr>
        <w:t>التقنيات الحديثة</w:t>
      </w:r>
      <w:r w:rsidRPr="007A62B9">
        <w:rPr>
          <w:rFonts w:ascii="Traditional Arabic" w:hAnsi="Traditional Arabic" w:cs="Traditional Arabic"/>
          <w:sz w:val="32"/>
          <w:szCs w:val="32"/>
          <w:rtl/>
        </w:rPr>
        <w:t xml:space="preserve"> مثل الذكاء الاصطناعي، التحليلات التنبؤية، وتقنية البلوك تشين لضمان دقة البيانات وتعزيز أمن </w:t>
      </w:r>
      <w:r w:rsidR="00CF1BBB" w:rsidRPr="007A62B9">
        <w:rPr>
          <w:rFonts w:ascii="Traditional Arabic" w:hAnsi="Traditional Arabic" w:cs="Traditional Arabic" w:hint="cs"/>
          <w:sz w:val="32"/>
          <w:szCs w:val="32"/>
          <w:rtl/>
        </w:rPr>
        <w:t>المعلومات</w:t>
      </w:r>
      <w:r w:rsidR="00CF1BBB" w:rsidRPr="007A62B9">
        <w:rPr>
          <w:rFonts w:ascii="Traditional Arabic" w:hAnsi="Traditional Arabic" w:cs="Traditional Arabic"/>
          <w:sz w:val="32"/>
          <w:szCs w:val="32"/>
        </w:rPr>
        <w:t>.</w:t>
      </w:r>
      <w:r w:rsidR="00CF1BBB" w:rsidRPr="007F53B6">
        <w:rPr>
          <w:rFonts w:ascii="Traditional Arabic" w:hAnsi="Traditional Arabic" w:cs="Traditional Arabic"/>
          <w:sz w:val="32"/>
          <w:szCs w:val="32"/>
        </w:rPr>
        <w:t xml:space="preserve"> </w:t>
      </w:r>
      <w:r w:rsidR="00CF1BBB" w:rsidRPr="007F53B6">
        <w:rPr>
          <w:rFonts w:ascii="Traditional Arabic" w:hAnsi="Traditional Arabic" w:cs="Traditional Arabic"/>
          <w:sz w:val="32"/>
          <w:szCs w:val="32"/>
          <w:rtl/>
        </w:rPr>
        <w:t>على</w:t>
      </w:r>
      <w:r w:rsidR="007F53B6" w:rsidRPr="007F53B6">
        <w:rPr>
          <w:rFonts w:ascii="Traditional Arabic" w:hAnsi="Traditional Arabic" w:cs="Traditional Arabic"/>
          <w:sz w:val="32"/>
          <w:szCs w:val="32"/>
        </w:rPr>
        <w:t xml:space="preserve"> أن يتم تبني البلوك تشين بصورة مرحلية وبعد تقييم مخاطر الأمن السيبراني والمخاطر التشغيلية والتنظيمية، مع عدم افتراض أن استخدامها يضمن الأمان تلقائياً</w:t>
      </w:r>
    </w:p>
    <w:p w14:paraId="56673D4E" w14:textId="77777777" w:rsidR="00326DB9" w:rsidRPr="007A62B9" w:rsidRDefault="00326DB9" w:rsidP="00D132F3">
      <w:pPr>
        <w:pStyle w:val="NormalWeb"/>
        <w:numPr>
          <w:ilvl w:val="0"/>
          <w:numId w:val="41"/>
        </w:numPr>
        <w:bidi/>
        <w:spacing w:before="0" w:beforeAutospacing="0" w:after="0" w:afterAutospacing="0"/>
        <w:jc w:val="lowKashida"/>
        <w:rPr>
          <w:rFonts w:ascii="Traditional Arabic" w:hAnsi="Traditional Arabic" w:cs="Traditional Arabic"/>
          <w:sz w:val="32"/>
          <w:szCs w:val="32"/>
        </w:rPr>
      </w:pPr>
      <w:r w:rsidRPr="007A62B9">
        <w:rPr>
          <w:rFonts w:ascii="Traditional Arabic" w:hAnsi="Traditional Arabic" w:cs="Traditional Arabic"/>
          <w:sz w:val="32"/>
          <w:szCs w:val="32"/>
          <w:rtl/>
        </w:rPr>
        <w:t xml:space="preserve">العمل على </w:t>
      </w:r>
      <w:r w:rsidRPr="007A62B9">
        <w:rPr>
          <w:rStyle w:val="Strong"/>
          <w:rFonts w:ascii="Traditional Arabic" w:eastAsiaTheme="majorEastAsia" w:hAnsi="Traditional Arabic" w:cs="Traditional Arabic"/>
          <w:b w:val="0"/>
          <w:bCs w:val="0"/>
          <w:sz w:val="32"/>
          <w:szCs w:val="32"/>
          <w:rtl/>
        </w:rPr>
        <w:t>تدريب وتأهيل الكوادر البشرية</w:t>
      </w:r>
      <w:r w:rsidRPr="007A62B9">
        <w:rPr>
          <w:rFonts w:ascii="Traditional Arabic" w:hAnsi="Traditional Arabic" w:cs="Traditional Arabic"/>
          <w:sz w:val="32"/>
          <w:szCs w:val="32"/>
          <w:rtl/>
        </w:rPr>
        <w:t xml:space="preserve"> بشكل مستمر لمواكبة التطورات الرقمية وضمان الاستخدام الأمثل للنظم المحاسبية الحديثة</w:t>
      </w:r>
      <w:r w:rsidRPr="007A62B9">
        <w:rPr>
          <w:rFonts w:ascii="Traditional Arabic" w:hAnsi="Traditional Arabic" w:cs="Traditional Arabic"/>
          <w:sz w:val="32"/>
          <w:szCs w:val="32"/>
        </w:rPr>
        <w:t>.</w:t>
      </w:r>
    </w:p>
    <w:p w14:paraId="51A7ABD5" w14:textId="77777777" w:rsidR="006A6DF1" w:rsidRPr="006A6DF1" w:rsidRDefault="00326DB9" w:rsidP="00D132F3">
      <w:pPr>
        <w:pStyle w:val="NormalWeb"/>
        <w:numPr>
          <w:ilvl w:val="0"/>
          <w:numId w:val="41"/>
        </w:numPr>
        <w:bidi/>
        <w:spacing w:before="0" w:beforeAutospacing="0" w:after="0" w:afterAutospacing="0"/>
        <w:jc w:val="lowKashida"/>
        <w:rPr>
          <w:rFonts w:ascii="Traditional Arabic" w:hAnsi="Traditional Arabic" w:cs="Traditional Arabic"/>
          <w:sz w:val="32"/>
          <w:szCs w:val="32"/>
        </w:rPr>
      </w:pPr>
      <w:r w:rsidRPr="006A6DF1">
        <w:rPr>
          <w:rFonts w:ascii="Traditional Arabic" w:hAnsi="Traditional Arabic" w:cs="Traditional Arabic"/>
          <w:sz w:val="32"/>
          <w:szCs w:val="32"/>
          <w:rtl/>
        </w:rPr>
        <w:t xml:space="preserve">وضع </w:t>
      </w:r>
      <w:r w:rsidRPr="006A6DF1">
        <w:rPr>
          <w:rStyle w:val="Strong"/>
          <w:rFonts w:ascii="Traditional Arabic" w:eastAsiaTheme="majorEastAsia" w:hAnsi="Traditional Arabic" w:cs="Traditional Arabic"/>
          <w:b w:val="0"/>
          <w:bCs w:val="0"/>
          <w:sz w:val="32"/>
          <w:szCs w:val="32"/>
          <w:rtl/>
        </w:rPr>
        <w:t>إطار تشريعي وتنظيمي داعم</w:t>
      </w:r>
      <w:r w:rsidRPr="006A6DF1">
        <w:rPr>
          <w:rFonts w:ascii="Traditional Arabic" w:hAnsi="Traditional Arabic" w:cs="Traditional Arabic"/>
          <w:sz w:val="32"/>
          <w:szCs w:val="32"/>
          <w:rtl/>
        </w:rPr>
        <w:t xml:space="preserve"> من قبل الجهات الرقابية (مثل بنك الكويت المركزي) لتسهيل وتسريع عملية التحول الرقمي، مع ضمان التوافق مع الضوابط الشرعية</w:t>
      </w:r>
      <w:r w:rsidR="006A6DF1" w:rsidRPr="006A6DF1">
        <w:rPr>
          <w:rFonts w:ascii="Traditional Arabic" w:hAnsi="Traditional Arabic" w:cs="Traditional Arabic"/>
          <w:sz w:val="32"/>
          <w:szCs w:val="32"/>
        </w:rPr>
        <w:t>في ضوء كون حجم الأثر متوسطاً، توصي الدراسة باعتماد التحول الرقمي على مراحل، مع قياس أثر كل مرحلةبمؤشرات كمية واضحة قبل التوسع الكامل، وإجراء دراسات لاحقة بعينات أوسع للتحقق من استقرار حجم الأثر</w:t>
      </w:r>
      <w:r w:rsidR="006A6DF1" w:rsidRPr="006A6DF1">
        <w:rPr>
          <w:rFonts w:ascii="Traditional Arabic" w:hAnsi="Traditional Arabic" w:cs="Traditional Arabic"/>
          <w:sz w:val="32"/>
          <w:szCs w:val="32"/>
          <w:rtl/>
        </w:rPr>
        <w:t>.</w:t>
      </w:r>
      <w:r w:rsidR="006A6DF1" w:rsidRPr="006A6DF1">
        <w:rPr>
          <w:rFonts w:ascii="Traditional Arabic" w:hAnsi="Traditional Arabic" w:cs="Traditional Arabic"/>
          <w:sz w:val="32"/>
          <w:szCs w:val="32"/>
        </w:rPr>
        <w:t>.</w:t>
      </w:r>
      <w:r w:rsidR="006A6DF1" w:rsidRPr="006A6DF1">
        <w:rPr>
          <w:rFonts w:ascii="Traditional Arabic" w:hAnsi="Traditional Arabic" w:cs="Traditional Arabic"/>
          <w:sz w:val="32"/>
          <w:szCs w:val="32"/>
          <w:rtl/>
        </w:rPr>
        <w:t xml:space="preserve"> </w:t>
      </w:r>
    </w:p>
    <w:p w14:paraId="794F2F9B" w14:textId="77777777" w:rsidR="007F53B6" w:rsidRPr="007F53B6" w:rsidRDefault="007F53B6" w:rsidP="00D132F3">
      <w:pPr>
        <w:spacing w:after="0" w:line="240" w:lineRule="auto"/>
        <w:jc w:val="lowKashida"/>
        <w:rPr>
          <w:rFonts w:ascii="Traditional Arabic" w:hAnsi="Traditional Arabic" w:cs="Traditional Arabic"/>
          <w:sz w:val="36"/>
          <w:szCs w:val="36"/>
          <w:rtl/>
        </w:rPr>
      </w:pPr>
    </w:p>
    <w:p w14:paraId="6DE23F46" w14:textId="77777777" w:rsidR="00326DB9" w:rsidRPr="00B31CFD" w:rsidRDefault="00326DB9" w:rsidP="00D132F3">
      <w:pPr>
        <w:spacing w:after="0" w:line="240" w:lineRule="auto"/>
        <w:jc w:val="lowKashida"/>
        <w:rPr>
          <w:rFonts w:ascii="Times New Roman" w:eastAsia="Times New Roman" w:hAnsi="Times New Roman" w:cs="Times New Roman"/>
          <w:kern w:val="0"/>
          <w14:ligatures w14:val="none"/>
        </w:rPr>
      </w:pPr>
    </w:p>
    <w:p w14:paraId="1BA244E9" w14:textId="121B5CE9" w:rsidR="00326DB9" w:rsidRPr="00593D5D" w:rsidRDefault="00326DB9" w:rsidP="00593D5D">
      <w:pPr>
        <w:spacing w:after="0" w:line="240" w:lineRule="auto"/>
        <w:jc w:val="lowKashida"/>
        <w:outlineLvl w:val="1"/>
        <w:rPr>
          <w:rFonts w:ascii="Garamond" w:eastAsia="Times New Roman" w:hAnsi="Garamond" w:cs="Times New Roman"/>
          <w:b/>
          <w:bCs/>
          <w:kern w:val="0"/>
          <w14:ligatures w14:val="none"/>
        </w:rPr>
      </w:pPr>
      <w:r w:rsidRPr="00593D5D">
        <w:rPr>
          <w:rFonts w:ascii="Garamond" w:eastAsia="Times New Roman" w:hAnsi="Garamond" w:cs="Times New Roman"/>
          <w:b/>
          <w:bCs/>
          <w:kern w:val="0"/>
          <w14:ligatures w14:val="none"/>
        </w:rPr>
        <w:t xml:space="preserve">References </w:t>
      </w:r>
    </w:p>
    <w:p w14:paraId="3B3A6873" w14:textId="3EC81369" w:rsidR="00326DB9" w:rsidRDefault="00326DB9" w:rsidP="00D132F3">
      <w:pPr>
        <w:spacing w:after="0" w:line="240" w:lineRule="auto"/>
        <w:ind w:left="720" w:hanging="720"/>
        <w:jc w:val="lowKashida"/>
        <w:rPr>
          <w:rFonts w:ascii="Garamond" w:eastAsia="Times New Roman" w:hAnsi="Garamond" w:cs="Times New Roman"/>
          <w:color w:val="0000FF"/>
          <w:kern w:val="0"/>
          <w:u w:val="single"/>
          <w14:ligatures w14:val="none"/>
        </w:rPr>
      </w:pPr>
      <w:r w:rsidRPr="00506002">
        <w:rPr>
          <w:rFonts w:ascii="Garamond" w:eastAsia="Times New Roman" w:hAnsi="Garamond" w:cs="Times New Roman"/>
          <w:kern w:val="0"/>
          <w14:ligatures w14:val="none"/>
        </w:rPr>
        <w:t xml:space="preserve">Ahmed, S., &amp; Khan, M. (2018). Blockchain technology in accounting information systems: Enhancing transparency and security in transaction recording. </w:t>
      </w:r>
      <w:r w:rsidRPr="00506002">
        <w:rPr>
          <w:rFonts w:ascii="Garamond" w:eastAsia="Times New Roman" w:hAnsi="Garamond" w:cs="Times New Roman"/>
          <w:i/>
          <w:iCs/>
          <w:kern w:val="0"/>
          <w14:ligatures w14:val="none"/>
        </w:rPr>
        <w:t>Journal of Accounting and Public Policy, 37</w:t>
      </w:r>
      <w:r w:rsidRPr="00506002">
        <w:rPr>
          <w:rFonts w:ascii="Garamond" w:eastAsia="Times New Roman" w:hAnsi="Garamond" w:cs="Times New Roman"/>
          <w:kern w:val="0"/>
          <w14:ligatures w14:val="none"/>
        </w:rPr>
        <w:t xml:space="preserve">(5), 456-473. </w:t>
      </w:r>
      <w:hyperlink r:id="rId21" w:tgtFrame="_new" w:history="1">
        <w:r w:rsidRPr="00506002">
          <w:rPr>
            <w:rFonts w:ascii="Garamond" w:eastAsia="Times New Roman" w:hAnsi="Garamond" w:cs="Times New Roman"/>
            <w:color w:val="0000FF"/>
            <w:kern w:val="0"/>
            <w:u w:val="single"/>
            <w14:ligatures w14:val="none"/>
          </w:rPr>
          <w:t>https://doi.org/10.1016/j.jaccpubpol.2018.08.003</w:t>
        </w:r>
      </w:hyperlink>
    </w:p>
    <w:p w14:paraId="1C9D88E6"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4AC5DA65" w14:textId="4EFF5CC3"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Al-Anzi, M. A. (2022). Application of cloud computing in banking information systems: Security, compliance, and operational efficiency [Doctoral dissertation, University of Kuwait]. University of Kuwait Digital. </w:t>
      </w:r>
    </w:p>
    <w:p w14:paraId="3C817F59"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23582DA2" w14:textId="69BD486C"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Al-Gabri, H. M., &amp; Abdullah, A. A. (2020). The impact of digital transformation on the performance of accounting information systems: A field study from the banking sector. </w:t>
      </w:r>
      <w:r w:rsidRPr="00506002">
        <w:rPr>
          <w:rFonts w:ascii="Garamond" w:eastAsia="Times New Roman" w:hAnsi="Garamond" w:cs="Times New Roman"/>
          <w:i/>
          <w:iCs/>
          <w:kern w:val="0"/>
          <w14:ligatures w14:val="none"/>
        </w:rPr>
        <w:t>Journal of Information and Knowledge Management, 19</w:t>
      </w:r>
      <w:r w:rsidRPr="00506002">
        <w:rPr>
          <w:rFonts w:ascii="Garamond" w:eastAsia="Times New Roman" w:hAnsi="Garamond" w:cs="Times New Roman"/>
          <w:kern w:val="0"/>
          <w14:ligatures w14:val="none"/>
        </w:rPr>
        <w:t xml:space="preserve">(03), 2050028. </w:t>
      </w:r>
    </w:p>
    <w:p w14:paraId="1D90556B"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08DB6AA2" w14:textId="452998DA" w:rsidR="00326DB9" w:rsidRDefault="00326DB9" w:rsidP="00D132F3">
      <w:pPr>
        <w:spacing w:after="0" w:line="240" w:lineRule="auto"/>
        <w:ind w:left="720" w:hanging="720"/>
        <w:jc w:val="lowKashida"/>
        <w:rPr>
          <w:rFonts w:ascii="Garamond" w:eastAsia="Times New Roman" w:hAnsi="Garamond" w:cs="Times New Roman"/>
          <w:color w:val="0000FF"/>
          <w:kern w:val="0"/>
          <w:u w:val="single"/>
          <w14:ligatures w14:val="none"/>
        </w:rPr>
      </w:pPr>
      <w:r w:rsidRPr="00506002">
        <w:rPr>
          <w:rFonts w:ascii="Garamond" w:eastAsia="Times New Roman" w:hAnsi="Garamond" w:cs="Times New Roman"/>
          <w:kern w:val="0"/>
          <w14:ligatures w14:val="none"/>
        </w:rPr>
        <w:t xml:space="preserve">Al-Hussaini, A. M., &amp; Al-Rashid, K. S. (2019). Comprehensive digital transformation in banking: The strategic role of accounting information systems in risk management and customer experience enhancement. </w:t>
      </w:r>
      <w:r w:rsidRPr="00506002">
        <w:rPr>
          <w:rFonts w:ascii="Garamond" w:eastAsia="Times New Roman" w:hAnsi="Garamond" w:cs="Times New Roman"/>
          <w:i/>
          <w:iCs/>
          <w:kern w:val="0"/>
          <w14:ligatures w14:val="none"/>
        </w:rPr>
        <w:t>International Journal of Bank Management, 37</w:t>
      </w:r>
      <w:r w:rsidRPr="00506002">
        <w:rPr>
          <w:rFonts w:ascii="Garamond" w:eastAsia="Times New Roman" w:hAnsi="Garamond" w:cs="Times New Roman"/>
          <w:kern w:val="0"/>
          <w14:ligatures w14:val="none"/>
        </w:rPr>
        <w:t xml:space="preserve">(4), 234-251. </w:t>
      </w:r>
      <w:hyperlink r:id="rId22" w:tgtFrame="_new" w:history="1">
        <w:r w:rsidRPr="00506002">
          <w:rPr>
            <w:rFonts w:ascii="Garamond" w:eastAsia="Times New Roman" w:hAnsi="Garamond" w:cs="Times New Roman"/>
            <w:color w:val="0000FF"/>
            <w:kern w:val="0"/>
            <w:u w:val="single"/>
            <w14:ligatures w14:val="none"/>
          </w:rPr>
          <w:t>https://doi.org/10.1080/02102412.2019.1623847</w:t>
        </w:r>
      </w:hyperlink>
    </w:p>
    <w:p w14:paraId="67D9B8C3"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649686F7" w14:textId="49630A2C"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Al-Jamal, M. A. (2006). </w:t>
      </w:r>
      <w:r w:rsidRPr="00506002">
        <w:rPr>
          <w:rFonts w:ascii="Garamond" w:eastAsia="Times New Roman" w:hAnsi="Garamond" w:cs="Times New Roman"/>
          <w:i/>
          <w:iCs/>
          <w:kern w:val="0"/>
          <w14:ligatures w14:val="none"/>
        </w:rPr>
        <w:t>Islamic Finance: Law.</w:t>
      </w:r>
      <w:r w:rsidRPr="00506002">
        <w:rPr>
          <w:rFonts w:ascii="Garamond" w:eastAsia="Times New Roman" w:hAnsi="Garamond" w:cs="Times New Roman"/>
          <w:kern w:val="0"/>
          <w14:ligatures w14:val="none"/>
        </w:rPr>
        <w:t xml:space="preserve"> Cambridge University Press. </w:t>
      </w:r>
      <w:hyperlink r:id="rId23" w:tgtFrame="_new" w:history="1">
        <w:r w:rsidRPr="00506002">
          <w:rPr>
            <w:rFonts w:ascii="Garamond" w:eastAsia="Times New Roman" w:hAnsi="Garamond" w:cs="Times New Roman"/>
            <w:color w:val="0000FF"/>
            <w:kern w:val="0"/>
            <w:u w:val="single"/>
            <w14:ligatures w14:val="none"/>
          </w:rPr>
          <w:t>https://doi.org/10.1017/CBO9780511753756</w:t>
        </w:r>
      </w:hyperlink>
      <w:r w:rsidRPr="00506002">
        <w:rPr>
          <w:rFonts w:ascii="Garamond" w:eastAsia="Times New Roman" w:hAnsi="Garamond" w:cs="Times New Roman"/>
          <w:kern w:val="0"/>
          <w14:ligatures w14:val="none"/>
        </w:rPr>
        <w:t xml:space="preserve"> </w:t>
      </w:r>
    </w:p>
    <w:p w14:paraId="778A1937"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33C1C510" w14:textId="77777777" w:rsidR="00593D5D"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lastRenderedPageBreak/>
        <w:t xml:space="preserve">Al-Husseini, A. M., &amp; Al-Rashid, K. S. (2019). Digital transformation in Kuwaiti Islamic banks: Core systems integration and accounting information. </w:t>
      </w:r>
      <w:r w:rsidRPr="00506002">
        <w:rPr>
          <w:rFonts w:ascii="Garamond" w:eastAsia="Times New Roman" w:hAnsi="Garamond" w:cs="Times New Roman"/>
          <w:i/>
          <w:iCs/>
          <w:kern w:val="0"/>
          <w14:ligatures w14:val="none"/>
        </w:rPr>
        <w:t>Journal of Islamic Banking and Finance, 36</w:t>
      </w:r>
      <w:r w:rsidRPr="00506002">
        <w:rPr>
          <w:rFonts w:ascii="Garamond" w:eastAsia="Times New Roman" w:hAnsi="Garamond" w:cs="Times New Roman"/>
          <w:kern w:val="0"/>
          <w14:ligatures w14:val="none"/>
        </w:rPr>
        <w:t xml:space="preserve">(2), 45-62. </w:t>
      </w:r>
    </w:p>
    <w:p w14:paraId="7B80EB4C" w14:textId="5E84B503"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Al-Lasharhan, A. H., &amp; Al-Marri, A. S. (2021). Digital transformation in Kuwaiti banks: Challenges and opportunities. </w:t>
      </w:r>
      <w:r w:rsidRPr="00506002">
        <w:rPr>
          <w:rFonts w:ascii="Garamond" w:eastAsia="Times New Roman" w:hAnsi="Garamond" w:cs="Times New Roman"/>
          <w:i/>
          <w:iCs/>
          <w:kern w:val="0"/>
          <w14:ligatures w14:val="none"/>
        </w:rPr>
        <w:t>International Journal of E-Banking Services, 3</w:t>
      </w:r>
      <w:r w:rsidRPr="00506002">
        <w:rPr>
          <w:rFonts w:ascii="Garamond" w:eastAsia="Times New Roman" w:hAnsi="Garamond" w:cs="Times New Roman"/>
          <w:kern w:val="0"/>
          <w14:ligatures w14:val="none"/>
        </w:rPr>
        <w:t xml:space="preserve">(1), 45-60. </w:t>
      </w:r>
    </w:p>
    <w:p w14:paraId="242121B6"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1BCFC61C" w14:textId="261712FE" w:rsidR="00326DB9" w:rsidRPr="00506002"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Al-Qasimi, M., &amp; Hajihah, Z. (2019). The role of big data analytics in enhancing credit risk management in financial institutions. </w:t>
      </w:r>
      <w:r w:rsidRPr="00506002">
        <w:rPr>
          <w:rFonts w:ascii="Garamond" w:eastAsia="Times New Roman" w:hAnsi="Garamond" w:cs="Times New Roman"/>
          <w:i/>
          <w:iCs/>
          <w:kern w:val="0"/>
          <w14:ligatures w14:val="none"/>
        </w:rPr>
        <w:t>Journal of Risk Management in Financial Institutions, 12</w:t>
      </w:r>
      <w:r w:rsidRPr="00506002">
        <w:rPr>
          <w:rFonts w:ascii="Garamond" w:eastAsia="Times New Roman" w:hAnsi="Garamond" w:cs="Times New Roman"/>
          <w:kern w:val="0"/>
          <w14:ligatures w14:val="none"/>
        </w:rPr>
        <w:t xml:space="preserve">(4), 373-385. </w:t>
      </w:r>
    </w:p>
    <w:p w14:paraId="0CEFF19F" w14:textId="679126C7"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  Al-Zarkashi, B. (1994). </w:t>
      </w:r>
      <w:r w:rsidRPr="00506002">
        <w:rPr>
          <w:rFonts w:ascii="Garamond" w:eastAsia="Times New Roman" w:hAnsi="Garamond" w:cs="Times New Roman"/>
          <w:i/>
          <w:iCs/>
          <w:kern w:val="0"/>
          <w14:ligatures w14:val="none"/>
        </w:rPr>
        <w:t>Al-Bahr Al-Muhit in Usul al-Fiqh</w:t>
      </w:r>
      <w:r w:rsidRPr="00506002">
        <w:rPr>
          <w:rFonts w:ascii="Garamond" w:eastAsia="Times New Roman" w:hAnsi="Garamond" w:cs="Times New Roman"/>
          <w:kern w:val="0"/>
          <w14:ligatures w14:val="none"/>
        </w:rPr>
        <w:t xml:space="preserve"> (Vol. 1, p. 115). Cairo: Dar Al-Kutubi. </w:t>
      </w:r>
    </w:p>
    <w:p w14:paraId="4689896B"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6C15253E" w14:textId="2569A1A5"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  Basel Committee on Banking Supervision. (2000). </w:t>
      </w:r>
      <w:r w:rsidRPr="00506002">
        <w:rPr>
          <w:rFonts w:ascii="Garamond" w:eastAsia="Times New Roman" w:hAnsi="Garamond" w:cs="Times New Roman"/>
          <w:i/>
          <w:iCs/>
          <w:kern w:val="0"/>
          <w14:ligatures w14:val="none"/>
        </w:rPr>
        <w:t>Principles for the Management of Credit Risk.</w:t>
      </w:r>
      <w:r w:rsidRPr="00506002">
        <w:rPr>
          <w:rFonts w:ascii="Garamond" w:eastAsia="Times New Roman" w:hAnsi="Garamond" w:cs="Times New Roman"/>
          <w:kern w:val="0"/>
          <w14:ligatures w14:val="none"/>
        </w:rPr>
        <w:t xml:space="preserve"> Bank for International Settlements.</w:t>
      </w:r>
    </w:p>
    <w:p w14:paraId="606AED43"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0242BC7B" w14:textId="011D17A2" w:rsidR="00326DB9" w:rsidRDefault="00326DB9" w:rsidP="00D132F3">
      <w:pPr>
        <w:spacing w:after="0" w:line="240" w:lineRule="auto"/>
        <w:ind w:left="720" w:hanging="720"/>
        <w:jc w:val="lowKashida"/>
        <w:rPr>
          <w:rFonts w:ascii="Garamond" w:eastAsia="Times New Roman" w:hAnsi="Garamond" w:cs="Times New Roman"/>
          <w:color w:val="0000FF"/>
          <w:kern w:val="0"/>
          <w:u w:val="single"/>
          <w14:ligatures w14:val="none"/>
        </w:rPr>
      </w:pPr>
      <w:r w:rsidRPr="00506002">
        <w:rPr>
          <w:rFonts w:ascii="Garamond" w:eastAsia="Times New Roman" w:hAnsi="Garamond" w:cs="Times New Roman"/>
          <w:kern w:val="0"/>
          <w14:ligatures w14:val="none"/>
        </w:rPr>
        <w:t xml:space="preserve"> Basel Committee on Banking Supervision. (2006). </w:t>
      </w:r>
      <w:r w:rsidRPr="00506002">
        <w:rPr>
          <w:rFonts w:ascii="Garamond" w:eastAsia="Times New Roman" w:hAnsi="Garamond" w:cs="Times New Roman"/>
          <w:i/>
          <w:iCs/>
          <w:kern w:val="0"/>
          <w14:ligatures w14:val="none"/>
        </w:rPr>
        <w:t>International Convergence of Capital Measurement and Capital Standards: A Revised Framework.</w:t>
      </w:r>
      <w:r w:rsidRPr="00506002">
        <w:rPr>
          <w:rFonts w:ascii="Garamond" w:eastAsia="Times New Roman" w:hAnsi="Garamond" w:cs="Times New Roman"/>
          <w:kern w:val="0"/>
          <w14:ligatures w14:val="none"/>
        </w:rPr>
        <w:t xml:space="preserve"> Bank for International Settlements. </w:t>
      </w:r>
      <w:hyperlink r:id="rId24" w:tgtFrame="_new" w:history="1">
        <w:r w:rsidRPr="00506002">
          <w:rPr>
            <w:rFonts w:ascii="Garamond" w:eastAsia="Times New Roman" w:hAnsi="Garamond" w:cs="Times New Roman"/>
            <w:color w:val="0000FF"/>
            <w:kern w:val="0"/>
            <w:u w:val="single"/>
            <w14:ligatures w14:val="none"/>
          </w:rPr>
          <w:t>https://www.bis.org/publ/bcbs128.pdf</w:t>
        </w:r>
      </w:hyperlink>
    </w:p>
    <w:p w14:paraId="542051BB"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55455F06" w14:textId="767D1698" w:rsidR="00BC44D8" w:rsidRDefault="007B65BF"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Bawana, T. A., Mansor, F., &amp; Noordin, K. (2025). Promoting ASEAN Islamic banking integration: Prospect and inclusive framework. </w:t>
      </w:r>
      <w:r w:rsidRPr="00506002">
        <w:rPr>
          <w:rFonts w:ascii="Garamond" w:eastAsia="Times New Roman" w:hAnsi="Garamond" w:cs="Times New Roman"/>
          <w:i/>
          <w:iCs/>
          <w:kern w:val="0"/>
          <w14:ligatures w14:val="none"/>
        </w:rPr>
        <w:t>Online Journal of Islamic Management and Finance (OJIMF), 5</w:t>
      </w:r>
      <w:r w:rsidRPr="00506002">
        <w:rPr>
          <w:rFonts w:ascii="Garamond" w:eastAsia="Times New Roman" w:hAnsi="Garamond" w:cs="Times New Roman"/>
          <w:kern w:val="0"/>
          <w14:ligatures w14:val="none"/>
        </w:rPr>
        <w:t xml:space="preserve">(1), 129-146. </w:t>
      </w:r>
      <w:hyperlink r:id="rId25" w:history="1">
        <w:r w:rsidR="00593D5D" w:rsidRPr="00734463">
          <w:rPr>
            <w:rStyle w:val="Hyperlink"/>
            <w:rFonts w:ascii="Garamond" w:eastAsia="Times New Roman" w:hAnsi="Garamond" w:cs="Times New Roman"/>
            <w:kern w:val="0"/>
            <w14:ligatures w14:val="none"/>
          </w:rPr>
          <w:t>https://doi.org/10.22452/ojimf.vol5no1.9</w:t>
        </w:r>
      </w:hyperlink>
    </w:p>
    <w:p w14:paraId="62AEC08A"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615B46B1" w14:textId="58103D33"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  Bhardwaj, A., El-Sawy, A., Pavlou, P. A., &amp; Venkatraman, N. (2013). Digital business strategy: Toward a next generation of insights. </w:t>
      </w:r>
      <w:r w:rsidRPr="00506002">
        <w:rPr>
          <w:rFonts w:ascii="Garamond" w:eastAsia="Times New Roman" w:hAnsi="Garamond" w:cs="Times New Roman"/>
          <w:i/>
          <w:iCs/>
          <w:kern w:val="0"/>
          <w14:ligatures w14:val="none"/>
        </w:rPr>
        <w:t>MIS Quarterly, 37</w:t>
      </w:r>
      <w:r w:rsidRPr="00506002">
        <w:rPr>
          <w:rFonts w:ascii="Garamond" w:eastAsia="Times New Roman" w:hAnsi="Garamond" w:cs="Times New Roman"/>
          <w:kern w:val="0"/>
          <w14:ligatures w14:val="none"/>
        </w:rPr>
        <w:t xml:space="preserve">(2), 471-502.   </w:t>
      </w:r>
      <w:hyperlink r:id="rId26" w:history="1">
        <w:r w:rsidRPr="00506002">
          <w:rPr>
            <w:rStyle w:val="Hyperlink"/>
            <w:rFonts w:ascii="Garamond" w:eastAsia="Times New Roman" w:hAnsi="Garamond" w:cs="Times New Roman"/>
            <w:kern w:val="0"/>
            <w14:ligatures w14:val="none"/>
          </w:rPr>
          <w:t>https://doi.org/10.25300/MISQ/2013/37:2.3</w:t>
        </w:r>
      </w:hyperlink>
      <w:r w:rsidRPr="00506002">
        <w:rPr>
          <w:rFonts w:ascii="Garamond" w:eastAsia="Times New Roman" w:hAnsi="Garamond" w:cs="Times New Roman"/>
          <w:kern w:val="0"/>
          <w14:ligatures w14:val="none"/>
        </w:rPr>
        <w:t xml:space="preserve"> </w:t>
      </w:r>
    </w:p>
    <w:p w14:paraId="0208B78E"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05B3D928" w14:textId="237676E3" w:rsidR="00326DB9" w:rsidRDefault="00326DB9" w:rsidP="00D132F3">
      <w:pPr>
        <w:spacing w:after="0" w:line="240" w:lineRule="auto"/>
        <w:ind w:left="720" w:hanging="720"/>
        <w:jc w:val="lowKashida"/>
        <w:rPr>
          <w:rFonts w:ascii="Garamond" w:eastAsia="Times New Roman" w:hAnsi="Garamond" w:cs="Times New Roman"/>
          <w:color w:val="0000FF"/>
          <w:kern w:val="0"/>
          <w:u w:val="single"/>
          <w14:ligatures w14:val="none"/>
        </w:rPr>
      </w:pPr>
      <w:r w:rsidRPr="00506002">
        <w:rPr>
          <w:rFonts w:ascii="Garamond" w:eastAsia="Times New Roman" w:hAnsi="Garamond" w:cs="Times New Roman"/>
          <w:kern w:val="0"/>
          <w14:ligatures w14:val="none"/>
        </w:rPr>
        <w:t xml:space="preserve">  Chen, L., Wang, H., Zhang, M., &amp; Liu, S. (2021). Artificial intelligence and machine learning applications in accounting information systems: Fraud detection and financial forecasting. </w:t>
      </w:r>
      <w:r w:rsidRPr="00506002">
        <w:rPr>
          <w:rFonts w:ascii="Garamond" w:eastAsia="Times New Roman" w:hAnsi="Garamond" w:cs="Times New Roman"/>
          <w:i/>
          <w:iCs/>
          <w:kern w:val="0"/>
          <w14:ligatures w14:val="none"/>
        </w:rPr>
        <w:t>Journal of Information Systems, 35</w:t>
      </w:r>
      <w:r w:rsidRPr="00506002">
        <w:rPr>
          <w:rFonts w:ascii="Garamond" w:eastAsia="Times New Roman" w:hAnsi="Garamond" w:cs="Times New Roman"/>
          <w:kern w:val="0"/>
          <w14:ligatures w14:val="none"/>
        </w:rPr>
        <w:t xml:space="preserve">(2), 87-104. </w:t>
      </w:r>
      <w:hyperlink r:id="rId27" w:tgtFrame="_new" w:history="1">
        <w:r w:rsidRPr="00506002">
          <w:rPr>
            <w:rFonts w:ascii="Garamond" w:eastAsia="Times New Roman" w:hAnsi="Garamond" w:cs="Times New Roman"/>
            <w:color w:val="0000FF"/>
            <w:kern w:val="0"/>
            <w:u w:val="single"/>
            <w14:ligatures w14:val="none"/>
          </w:rPr>
          <w:t>https://doi.org/10.2308/ISYS-19-025</w:t>
        </w:r>
      </w:hyperlink>
    </w:p>
    <w:p w14:paraId="12BBB411"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5F9E99BD" w14:textId="45F7B33D" w:rsidR="00326DB9" w:rsidRDefault="00326DB9" w:rsidP="00D132F3">
      <w:pPr>
        <w:spacing w:after="0" w:line="240" w:lineRule="auto"/>
        <w:ind w:left="720" w:hanging="720"/>
        <w:jc w:val="lowKashida"/>
        <w:rPr>
          <w:rFonts w:ascii="Garamond" w:eastAsia="Times New Roman" w:hAnsi="Garamond" w:cs="Times New Roman"/>
          <w:color w:val="0000FF"/>
          <w:kern w:val="0"/>
          <w:u w:val="single"/>
          <w14:ligatures w14:val="none"/>
        </w:rPr>
      </w:pPr>
      <w:r w:rsidRPr="00506002">
        <w:rPr>
          <w:rFonts w:ascii="Garamond" w:eastAsia="Times New Roman" w:hAnsi="Garamond" w:cs="Times New Roman"/>
          <w:kern w:val="0"/>
          <w14:ligatures w14:val="none"/>
        </w:rPr>
        <w:t xml:space="preserve">Garcia, M., &amp; Lopez, A. (2021). Big data analytics in banking: Leveraging accounting information systems for customer behavior analysis and risk assessment. </w:t>
      </w:r>
      <w:r w:rsidRPr="00506002">
        <w:rPr>
          <w:rFonts w:ascii="Garamond" w:eastAsia="Times New Roman" w:hAnsi="Garamond" w:cs="Times New Roman"/>
          <w:i/>
          <w:iCs/>
          <w:kern w:val="0"/>
          <w14:ligatures w14:val="none"/>
        </w:rPr>
        <w:t>International Journal of Banking and Finance, 16</w:t>
      </w:r>
      <w:r w:rsidRPr="00506002">
        <w:rPr>
          <w:rFonts w:ascii="Garamond" w:eastAsia="Times New Roman" w:hAnsi="Garamond" w:cs="Times New Roman"/>
          <w:kern w:val="0"/>
          <w14:ligatures w14:val="none"/>
        </w:rPr>
        <w:t xml:space="preserve">(1), 23-41. </w:t>
      </w:r>
      <w:hyperlink r:id="rId28" w:tgtFrame="_new" w:history="1">
        <w:r w:rsidRPr="00506002">
          <w:rPr>
            <w:rFonts w:ascii="Garamond" w:eastAsia="Times New Roman" w:hAnsi="Garamond" w:cs="Times New Roman"/>
            <w:color w:val="0000FF"/>
            <w:kern w:val="0"/>
            <w:u w:val="single"/>
            <w14:ligatures w14:val="none"/>
          </w:rPr>
          <w:t>https://doi.org/10.32890/ijbf2021.16.1.2</w:t>
        </w:r>
      </w:hyperlink>
    </w:p>
    <w:p w14:paraId="4AA3F471"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627CC911" w14:textId="07D04F94" w:rsidR="00BC44D8" w:rsidRDefault="007B65BF"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Harahap, N. S., Pratama, F. A., &amp; Indra, G. R. (2026). A comprehensive literature review of AI implementation through Islamic principles in education, financial services, and law. </w:t>
      </w:r>
      <w:r w:rsidRPr="00506002">
        <w:rPr>
          <w:rFonts w:ascii="Garamond" w:eastAsia="Times New Roman" w:hAnsi="Garamond" w:cs="Times New Roman"/>
          <w:i/>
          <w:iCs/>
          <w:kern w:val="0"/>
          <w14:ligatures w14:val="none"/>
        </w:rPr>
        <w:t>Online Journal of Islamic Management and Finance (OJIMF), 6</w:t>
      </w:r>
      <w:r w:rsidRPr="00506002">
        <w:rPr>
          <w:rFonts w:ascii="Garamond" w:eastAsia="Times New Roman" w:hAnsi="Garamond" w:cs="Times New Roman"/>
          <w:kern w:val="0"/>
          <w14:ligatures w14:val="none"/>
        </w:rPr>
        <w:t xml:space="preserve">(1), 19-36. </w:t>
      </w:r>
      <w:hyperlink r:id="rId29" w:history="1">
        <w:r w:rsidR="00593D5D" w:rsidRPr="00734463">
          <w:rPr>
            <w:rStyle w:val="Hyperlink"/>
            <w:rFonts w:ascii="Garamond" w:eastAsia="Times New Roman" w:hAnsi="Garamond" w:cs="Times New Roman"/>
            <w:kern w:val="0"/>
            <w14:ligatures w14:val="none"/>
          </w:rPr>
          <w:t>https://doi.org/10.22452/ojimf.vol6no1.2</w:t>
        </w:r>
      </w:hyperlink>
    </w:p>
    <w:p w14:paraId="1084100A"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683A701C" w14:textId="485E5157"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Hassan, M. K., &amp; Bashir, M. (2018). Credit risk management practices in Islamic banks: A case study of GCC countries. </w:t>
      </w:r>
      <w:r w:rsidRPr="00506002">
        <w:rPr>
          <w:rFonts w:ascii="Garamond" w:eastAsia="Times New Roman" w:hAnsi="Garamond" w:cs="Times New Roman"/>
          <w:i/>
          <w:iCs/>
          <w:kern w:val="0"/>
          <w14:ligatures w14:val="none"/>
        </w:rPr>
        <w:t>Journal of Islamic Economics, Banking and Finance, 14</w:t>
      </w:r>
      <w:r w:rsidRPr="00506002">
        <w:rPr>
          <w:rFonts w:ascii="Garamond" w:eastAsia="Times New Roman" w:hAnsi="Garamond" w:cs="Times New Roman"/>
          <w:kern w:val="0"/>
          <w14:ligatures w14:val="none"/>
        </w:rPr>
        <w:t xml:space="preserve">(2), 1-20. </w:t>
      </w:r>
    </w:p>
    <w:p w14:paraId="65635C5B"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24EBC155" w14:textId="7FFCA4FE"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Ibn Manzur, M. (1993). </w:t>
      </w:r>
      <w:r w:rsidRPr="00506002">
        <w:rPr>
          <w:rFonts w:ascii="Garamond" w:eastAsia="Times New Roman" w:hAnsi="Garamond" w:cs="Times New Roman"/>
          <w:i/>
          <w:iCs/>
          <w:kern w:val="0"/>
          <w14:ligatures w14:val="none"/>
        </w:rPr>
        <w:t>Lisan al-Arab</w:t>
      </w:r>
      <w:r w:rsidRPr="00506002">
        <w:rPr>
          <w:rFonts w:ascii="Garamond" w:eastAsia="Times New Roman" w:hAnsi="Garamond" w:cs="Times New Roman"/>
          <w:kern w:val="0"/>
          <w14:ligatures w14:val="none"/>
        </w:rPr>
        <w:t xml:space="preserve"> (Vol. 1, p. 34). Beirut: Dar Sadir. </w:t>
      </w:r>
    </w:p>
    <w:p w14:paraId="1A52AE12"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0364A795" w14:textId="6DF76B79" w:rsidR="00593D5D" w:rsidRDefault="00326DB9" w:rsidP="00593D5D">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Ibn Manzur, M. (1993). </w:t>
      </w:r>
      <w:r w:rsidRPr="00506002">
        <w:rPr>
          <w:rFonts w:ascii="Garamond" w:eastAsia="Times New Roman" w:hAnsi="Garamond" w:cs="Times New Roman"/>
          <w:i/>
          <w:iCs/>
          <w:kern w:val="0"/>
          <w14:ligatures w14:val="none"/>
        </w:rPr>
        <w:t>Lisan al-Arab</w:t>
      </w:r>
      <w:r w:rsidRPr="00506002">
        <w:rPr>
          <w:rFonts w:ascii="Garamond" w:eastAsia="Times New Roman" w:hAnsi="Garamond" w:cs="Times New Roman"/>
          <w:kern w:val="0"/>
          <w14:ligatures w14:val="none"/>
        </w:rPr>
        <w:t xml:space="preserve"> (Vol. 4, p. 245). Beirut: Dar Sadir. </w:t>
      </w:r>
    </w:p>
    <w:p w14:paraId="47E2F120" w14:textId="77777777" w:rsidR="00593D5D" w:rsidRPr="00506002" w:rsidRDefault="00593D5D" w:rsidP="00593D5D">
      <w:pPr>
        <w:spacing w:after="0" w:line="240" w:lineRule="auto"/>
        <w:ind w:left="720" w:hanging="720"/>
        <w:jc w:val="lowKashida"/>
        <w:rPr>
          <w:rFonts w:ascii="Garamond" w:eastAsia="Times New Roman" w:hAnsi="Garamond" w:cs="Times New Roman"/>
          <w:i/>
          <w:iCs/>
          <w:kern w:val="0"/>
          <w14:ligatures w14:val="none"/>
        </w:rPr>
      </w:pPr>
    </w:p>
    <w:p w14:paraId="477DC077" w14:textId="6733E85A" w:rsidR="00326DB9" w:rsidRDefault="00164E1A" w:rsidP="00D132F3">
      <w:pPr>
        <w:spacing w:after="0" w:line="240" w:lineRule="auto"/>
        <w:ind w:left="720" w:hanging="720"/>
        <w:jc w:val="lowKashida"/>
        <w:rPr>
          <w:rFonts w:ascii="Garamond" w:eastAsia="Times New Roman" w:hAnsi="Garamond" w:cs="Times New Roman"/>
          <w:kern w:val="0"/>
          <w14:ligatures w14:val="none"/>
        </w:rPr>
      </w:pPr>
      <w:r w:rsidRPr="00164E1A">
        <w:rPr>
          <w:rFonts w:ascii="Garamond" w:eastAsia="Times New Roman" w:hAnsi="Garamond" w:cs="Times New Roman"/>
          <w:i/>
          <w:iCs/>
          <w:kern w:val="0"/>
          <w14:ligatures w14:val="none"/>
        </w:rPr>
        <w:t>IFSB-19: Guiding Principles</w:t>
      </w:r>
      <w:r>
        <w:rPr>
          <w:rFonts w:ascii="Garamond" w:eastAsia="Times New Roman" w:hAnsi="Garamond" w:cs="Times New Roman"/>
          <w:i/>
          <w:iCs/>
          <w:kern w:val="0"/>
          <w14:ligatures w14:val="none"/>
        </w:rPr>
        <w:t xml:space="preserve"> </w:t>
      </w:r>
      <w:r w:rsidR="00326DB9" w:rsidRPr="00506002">
        <w:rPr>
          <w:rFonts w:ascii="Garamond" w:eastAsia="Times New Roman" w:hAnsi="Garamond" w:cs="Times New Roman"/>
          <w:i/>
          <w:iCs/>
          <w:kern w:val="0"/>
          <w14:ligatures w14:val="none"/>
        </w:rPr>
        <w:t>on Disclosure Requirements for Islamic Capital Market Products (Sukūk and Islamic Collective Investment Schemes).</w:t>
      </w:r>
      <w:r w:rsidR="00326DB9" w:rsidRPr="00506002">
        <w:rPr>
          <w:rFonts w:ascii="Garamond" w:eastAsia="Times New Roman" w:hAnsi="Garamond" w:cs="Times New Roman"/>
          <w:kern w:val="0"/>
          <w14:ligatures w14:val="none"/>
        </w:rPr>
        <w:t xml:space="preserve"> Kuala Lumpur: IFSB.</w:t>
      </w:r>
    </w:p>
    <w:p w14:paraId="5AA91655"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3E4D7E0E" w14:textId="23CAA7E7" w:rsidR="00326DB9" w:rsidRDefault="00326DB9" w:rsidP="00D132F3">
      <w:pPr>
        <w:spacing w:after="0" w:line="240" w:lineRule="auto"/>
        <w:ind w:left="720" w:hanging="720"/>
        <w:jc w:val="lowKashida"/>
        <w:rPr>
          <w:rFonts w:ascii="Garamond" w:eastAsia="Times New Roman" w:hAnsi="Garamond" w:cs="Times New Roman"/>
          <w:i/>
          <w:iCs/>
          <w:kern w:val="0"/>
          <w14:ligatures w14:val="none"/>
        </w:rPr>
      </w:pPr>
      <w:r w:rsidRPr="00506002">
        <w:rPr>
          <w:rFonts w:ascii="Garamond" w:eastAsia="Times New Roman" w:hAnsi="Garamond" w:cs="Times New Roman"/>
          <w:kern w:val="0"/>
          <w14:ligatures w14:val="none"/>
        </w:rPr>
        <w:t xml:space="preserve">KPMG. (2019). </w:t>
      </w:r>
      <w:r w:rsidRPr="00506002">
        <w:rPr>
          <w:rFonts w:ascii="Garamond" w:eastAsia="Times New Roman" w:hAnsi="Garamond" w:cs="Times New Roman"/>
          <w:i/>
          <w:iCs/>
          <w:kern w:val="0"/>
          <w14:ligatures w14:val="none"/>
        </w:rPr>
        <w:t>The future of finance: The impact of AI and machine learning on financial services.</w:t>
      </w:r>
    </w:p>
    <w:p w14:paraId="30980769"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3DE9BD59" w14:textId="2E651F61"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Majma‘al-Lugha al-‘Arabiyya (Arabic Language Academy, Cairo). (2004). </w:t>
      </w:r>
      <w:r w:rsidRPr="00506002">
        <w:rPr>
          <w:rFonts w:ascii="Garamond" w:eastAsia="Times New Roman" w:hAnsi="Garamond" w:cs="Times New Roman"/>
          <w:i/>
          <w:iCs/>
          <w:kern w:val="0"/>
          <w14:ligatures w14:val="none"/>
        </w:rPr>
        <w:t>Al-Mu‘jam al-Wasit</w:t>
      </w:r>
      <w:r w:rsidRPr="00506002">
        <w:rPr>
          <w:rFonts w:ascii="Garamond" w:eastAsia="Times New Roman" w:hAnsi="Garamond" w:cs="Times New Roman"/>
          <w:kern w:val="0"/>
          <w14:ligatures w14:val="none"/>
        </w:rPr>
        <w:t xml:space="preserve"> (Vol. 1, p. 32). Cairo: Dar Al-Da ‘wah. </w:t>
      </w:r>
    </w:p>
    <w:p w14:paraId="4D4A171A"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4B11C624" w14:textId="7871AB65"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Romney, M. B., &amp; Steinbart, P. J. (2021). </w:t>
      </w:r>
      <w:r w:rsidRPr="00506002">
        <w:rPr>
          <w:rFonts w:ascii="Garamond" w:eastAsia="Times New Roman" w:hAnsi="Garamond" w:cs="Times New Roman"/>
          <w:i/>
          <w:iCs/>
          <w:kern w:val="0"/>
          <w14:ligatures w14:val="none"/>
        </w:rPr>
        <w:t>Accounting Information Systems</w:t>
      </w:r>
      <w:r w:rsidRPr="00506002">
        <w:rPr>
          <w:rFonts w:ascii="Garamond" w:eastAsia="Times New Roman" w:hAnsi="Garamond" w:cs="Times New Roman"/>
          <w:kern w:val="0"/>
          <w14:ligatures w14:val="none"/>
        </w:rPr>
        <w:t xml:space="preserve"> (15th ed.).Pearson Education.</w:t>
      </w:r>
    </w:p>
    <w:p w14:paraId="3BC935C2"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03EB1F82" w14:textId="2051161E"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Romney, M. B., &amp; Steinbart, P. J. (2021). </w:t>
      </w:r>
      <w:r w:rsidRPr="00506002">
        <w:rPr>
          <w:rFonts w:ascii="Garamond" w:eastAsia="Times New Roman" w:hAnsi="Garamond" w:cs="Times New Roman"/>
          <w:i/>
          <w:iCs/>
          <w:kern w:val="0"/>
          <w14:ligatures w14:val="none"/>
        </w:rPr>
        <w:t>Air Conditioner</w:t>
      </w:r>
      <w:r w:rsidRPr="00506002">
        <w:rPr>
          <w:rFonts w:ascii="Garamond" w:eastAsia="Times New Roman" w:hAnsi="Garamond" w:cs="Times New Roman"/>
          <w:kern w:val="0"/>
          <w14:ligatures w14:val="none"/>
        </w:rPr>
        <w:t xml:space="preserve"> (15th ed.). Pearson Education. </w:t>
      </w:r>
    </w:p>
    <w:p w14:paraId="36CE3842"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6E247C31" w14:textId="61CA4414"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Westerman, G., Bonnet, D., &amp; McAfee, A. (2014). </w:t>
      </w:r>
      <w:r w:rsidRPr="00506002">
        <w:rPr>
          <w:rFonts w:ascii="Garamond" w:eastAsia="Times New Roman" w:hAnsi="Garamond" w:cs="Times New Roman"/>
          <w:i/>
          <w:iCs/>
          <w:kern w:val="0"/>
          <w14:ligatures w14:val="none"/>
        </w:rPr>
        <w:t>Leading Digital: Turning Technology into Business Transformation.</w:t>
      </w:r>
      <w:r w:rsidRPr="00506002">
        <w:rPr>
          <w:rFonts w:ascii="Garamond" w:eastAsia="Times New Roman" w:hAnsi="Garamond" w:cs="Times New Roman"/>
          <w:kern w:val="0"/>
          <w14:ligatures w14:val="none"/>
        </w:rPr>
        <w:t xml:space="preserve"> Harvard Business Review Press.</w:t>
      </w:r>
    </w:p>
    <w:p w14:paraId="27A2A289"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08BD45F6" w14:textId="2542317F" w:rsidR="00326DB9"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Wilkinson, J. W., Cerullo, M. J., Raval, V., &amp; Wong-On-Wing, B. (2018). </w:t>
      </w:r>
      <w:r w:rsidRPr="00506002">
        <w:rPr>
          <w:rFonts w:ascii="Garamond" w:eastAsia="Times New Roman" w:hAnsi="Garamond" w:cs="Times New Roman"/>
          <w:i/>
          <w:iCs/>
          <w:kern w:val="0"/>
          <w14:ligatures w14:val="none"/>
        </w:rPr>
        <w:t>Accounting Information Systems: Essential Concepts and Applications</w:t>
      </w:r>
      <w:r w:rsidRPr="00506002">
        <w:rPr>
          <w:rFonts w:ascii="Garamond" w:eastAsia="Times New Roman" w:hAnsi="Garamond" w:cs="Times New Roman"/>
          <w:kern w:val="0"/>
          <w14:ligatures w14:val="none"/>
        </w:rPr>
        <w:t xml:space="preserve"> (6th ed.). Hoboken, NJ: Wiley.</w:t>
      </w:r>
    </w:p>
    <w:p w14:paraId="777192CD" w14:textId="77777777" w:rsidR="00593D5D" w:rsidRPr="00506002" w:rsidRDefault="00593D5D" w:rsidP="00D132F3">
      <w:pPr>
        <w:spacing w:after="0" w:line="240" w:lineRule="auto"/>
        <w:ind w:left="720" w:hanging="720"/>
        <w:jc w:val="lowKashida"/>
        <w:rPr>
          <w:rFonts w:ascii="Garamond" w:eastAsia="Times New Roman" w:hAnsi="Garamond" w:cs="Times New Roman"/>
          <w:kern w:val="0"/>
          <w14:ligatures w14:val="none"/>
        </w:rPr>
      </w:pPr>
    </w:p>
    <w:p w14:paraId="6031A00B" w14:textId="77777777" w:rsidR="00326DB9" w:rsidRPr="00506002" w:rsidRDefault="00326DB9" w:rsidP="00D132F3">
      <w:pPr>
        <w:spacing w:after="0" w:line="240" w:lineRule="auto"/>
        <w:ind w:left="720" w:hanging="720"/>
        <w:jc w:val="lowKashida"/>
        <w:rPr>
          <w:rFonts w:ascii="Garamond" w:eastAsia="Times New Roman" w:hAnsi="Garamond" w:cs="Times New Roman"/>
          <w:kern w:val="0"/>
          <w14:ligatures w14:val="none"/>
        </w:rPr>
      </w:pPr>
      <w:r w:rsidRPr="00506002">
        <w:rPr>
          <w:rFonts w:ascii="Garamond" w:eastAsia="Times New Roman" w:hAnsi="Garamond" w:cs="Times New Roman"/>
          <w:kern w:val="0"/>
          <w14:ligatures w14:val="none"/>
        </w:rPr>
        <w:t xml:space="preserve">Wilkinson, J. W., Cerullo, M. J., Raval, V., &amp; Wong-On-Wing, B. (2018). </w:t>
      </w:r>
      <w:r w:rsidRPr="00506002">
        <w:rPr>
          <w:rFonts w:ascii="Garamond" w:eastAsia="Times New Roman" w:hAnsi="Garamond" w:cs="Times New Roman"/>
          <w:i/>
          <w:iCs/>
          <w:kern w:val="0"/>
          <w14:ligatures w14:val="none"/>
        </w:rPr>
        <w:t>Accounting Information Systems: Essential Concepts and Applications</w:t>
      </w:r>
      <w:r w:rsidRPr="00506002">
        <w:rPr>
          <w:rFonts w:ascii="Garamond" w:eastAsia="Times New Roman" w:hAnsi="Garamond" w:cs="Times New Roman"/>
          <w:kern w:val="0"/>
          <w14:ligatures w14:val="none"/>
        </w:rPr>
        <w:t xml:space="preserve"> (9th ed.). John Wiley &amp; Sons.</w:t>
      </w:r>
    </w:p>
    <w:p w14:paraId="6AD5B03E" w14:textId="77777777" w:rsidR="00326DB9" w:rsidRPr="00506002" w:rsidRDefault="00326DB9" w:rsidP="00D132F3">
      <w:pPr>
        <w:bidi/>
        <w:spacing w:after="0" w:line="240" w:lineRule="auto"/>
        <w:ind w:hanging="720"/>
        <w:jc w:val="lowKashida"/>
        <w:rPr>
          <w:rFonts w:ascii="Garamond" w:hAnsi="Garamond" w:cs="Traditional Arabic"/>
          <w:sz w:val="32"/>
          <w:szCs w:val="32"/>
        </w:rPr>
      </w:pPr>
    </w:p>
    <w:p w14:paraId="0176D42E" w14:textId="77777777" w:rsidR="00326DB9" w:rsidRDefault="00326DB9" w:rsidP="00D132F3">
      <w:pPr>
        <w:bidi/>
        <w:spacing w:after="0" w:line="240" w:lineRule="auto"/>
        <w:jc w:val="lowKashida"/>
        <w:rPr>
          <w:rFonts w:ascii="Traditional Arabic" w:hAnsi="Traditional Arabic" w:cs="Traditional Arabic"/>
          <w:sz w:val="32"/>
          <w:szCs w:val="32"/>
        </w:rPr>
      </w:pPr>
    </w:p>
    <w:p w14:paraId="5E60BDB3" w14:textId="77777777" w:rsidR="00326DB9" w:rsidRPr="00326DB9" w:rsidRDefault="00326DB9" w:rsidP="00D132F3">
      <w:pPr>
        <w:bidi/>
        <w:spacing w:after="0" w:line="240" w:lineRule="auto"/>
        <w:jc w:val="lowKashida"/>
        <w:rPr>
          <w:rFonts w:ascii="Traditional Arabic" w:hAnsi="Traditional Arabic" w:cs="Traditional Arabic"/>
          <w:sz w:val="32"/>
          <w:szCs w:val="32"/>
        </w:rPr>
      </w:pPr>
    </w:p>
    <w:sectPr w:rsidR="00326DB9" w:rsidRPr="00326DB9" w:rsidSect="00812CD0">
      <w:headerReference w:type="even" r:id="rId30"/>
      <w:headerReference w:type="default" r:id="rId31"/>
      <w:footerReference w:type="even" r:id="rId32"/>
      <w:footerReference w:type="default" r:id="rId33"/>
      <w:headerReference w:type="first" r:id="rId34"/>
      <w:footerReference w:type="first" r:id="rId35"/>
      <w:pgSz w:w="12240" w:h="15840"/>
      <w:pgMar w:top="1440" w:right="1325" w:bottom="1440" w:left="1440" w:header="720" w:footer="720" w:gutter="0"/>
      <w:pgNumType w:start="13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3F5EF" w14:textId="77777777" w:rsidR="00462E36" w:rsidRDefault="00462E36" w:rsidP="00462E36">
      <w:pPr>
        <w:spacing w:after="0" w:line="240" w:lineRule="auto"/>
      </w:pPr>
      <w:r>
        <w:separator/>
      </w:r>
    </w:p>
  </w:endnote>
  <w:endnote w:type="continuationSeparator" w:id="0">
    <w:p w14:paraId="13FFDA92" w14:textId="77777777" w:rsidR="00462E36" w:rsidRDefault="00462E36" w:rsidP="00462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charset w:val="B2"/>
    <w:family w:val="roman"/>
    <w:pitch w:val="variable"/>
    <w:sig w:usb0="00002001"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25656" w14:textId="77777777" w:rsidR="009025EC" w:rsidRDefault="009025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957513"/>
      <w:docPartObj>
        <w:docPartGallery w:val="Page Numbers (Bottom of Page)"/>
        <w:docPartUnique/>
      </w:docPartObj>
    </w:sdtPr>
    <w:sdtEndPr>
      <w:rPr>
        <w:noProof/>
      </w:rPr>
    </w:sdtEndPr>
    <w:sdtContent>
      <w:p w14:paraId="0E7FE166" w14:textId="497A0293" w:rsidR="009025EC" w:rsidRDefault="009025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30DEEA" w14:textId="77777777" w:rsidR="009025EC" w:rsidRDefault="009025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E46E3" w14:textId="77777777" w:rsidR="009025EC" w:rsidRDefault="009025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91188" w14:textId="77777777" w:rsidR="00462E36" w:rsidRDefault="00462E36" w:rsidP="00462E36">
      <w:pPr>
        <w:spacing w:after="0" w:line="240" w:lineRule="auto"/>
      </w:pPr>
      <w:r>
        <w:separator/>
      </w:r>
    </w:p>
  </w:footnote>
  <w:footnote w:type="continuationSeparator" w:id="0">
    <w:p w14:paraId="44EAC6FA" w14:textId="77777777" w:rsidR="00462E36" w:rsidRDefault="00462E36" w:rsidP="00462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5FC2E" w14:textId="77777777" w:rsidR="009025EC" w:rsidRDefault="009025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268"/>
      <w:gridCol w:w="9207"/>
    </w:tblGrid>
    <w:tr w:rsidR="00B83210" w14:paraId="64BE4AC1" w14:textId="77777777">
      <w:trPr>
        <w:jc w:val="right"/>
      </w:trPr>
      <w:tc>
        <w:tcPr>
          <w:tcW w:w="0" w:type="auto"/>
          <w:shd w:val="clear" w:color="auto" w:fill="ED7D31" w:themeFill="accent2"/>
          <w:vAlign w:val="center"/>
        </w:tcPr>
        <w:p w14:paraId="0ABB7715" w14:textId="77777777" w:rsidR="00B83210" w:rsidRDefault="00B83210">
          <w:pPr>
            <w:pStyle w:val="Header"/>
            <w:rPr>
              <w:caps/>
              <w:color w:val="FFFFFF" w:themeColor="background1"/>
            </w:rPr>
          </w:pPr>
        </w:p>
      </w:tc>
      <w:tc>
        <w:tcPr>
          <w:tcW w:w="0" w:type="auto"/>
          <w:shd w:val="clear" w:color="auto" w:fill="ED7D31" w:themeFill="accent2"/>
          <w:vAlign w:val="center"/>
        </w:tcPr>
        <w:p w14:paraId="54D40485" w14:textId="10450219" w:rsidR="00B83210" w:rsidRPr="00E9193C" w:rsidRDefault="00B83210">
          <w:pPr>
            <w:pStyle w:val="Header"/>
            <w:jc w:val="right"/>
            <w:rPr>
              <w:rFonts w:ascii="Times New Roman" w:hAnsi="Times New Roman" w:cs="Times New Roman"/>
              <w:caps/>
              <w:color w:val="FFFFFF" w:themeColor="background1"/>
              <w:sz w:val="20"/>
              <w:szCs w:val="20"/>
            </w:rPr>
          </w:pPr>
          <w:r>
            <w:rPr>
              <w:caps/>
              <w:color w:val="FFFFFF" w:themeColor="background1"/>
            </w:rPr>
            <w:t xml:space="preserve"> </w:t>
          </w:r>
          <w:sdt>
            <w:sdtPr>
              <w:rPr>
                <w:rFonts w:ascii="Times New Roman" w:hAnsi="Times New Roman" w:cs="Times New Roman"/>
                <w:caps/>
                <w:sz w:val="20"/>
                <w:szCs w:val="20"/>
              </w:rPr>
              <w:alias w:val="Title"/>
              <w:tag w:val=""/>
              <w:id w:val="-773790484"/>
              <w:placeholder>
                <w:docPart w:val="7A0FFF01D54E46129067E2F3FC0E8452"/>
              </w:placeholder>
              <w:dataBinding w:prefixMappings="xmlns:ns0='http://purl.org/dc/elements/1.1/' xmlns:ns1='http://schemas.openxmlformats.org/package/2006/metadata/core-properties' " w:xpath="/ns1:coreProperties[1]/ns0:title[1]" w:storeItemID="{6C3C8BC8-F283-45AE-878A-BAB7291924A1}"/>
              <w:text/>
            </w:sdtPr>
            <w:sdtEndPr/>
            <w:sdtContent>
              <w:r w:rsidRPr="00905C31">
                <w:rPr>
                  <w:rFonts w:ascii="Times New Roman" w:hAnsi="Times New Roman" w:cs="Times New Roman"/>
                  <w:caps/>
                  <w:sz w:val="20"/>
                  <w:szCs w:val="20"/>
                </w:rPr>
                <w:t>ONLINE JOURNAL OF ISLAMIC MANAGEMENT AND FINANCE, VOL. 6, NO. 2,</w:t>
              </w:r>
              <w:r w:rsidR="009025EC">
                <w:rPr>
                  <w:rFonts w:ascii="Times New Roman" w:hAnsi="Times New Roman" w:cs="Times New Roman"/>
                  <w:caps/>
                  <w:sz w:val="20"/>
                  <w:szCs w:val="20"/>
                </w:rPr>
                <w:t xml:space="preserve"> 1</w:t>
              </w:r>
              <w:r w:rsidR="00234213">
                <w:rPr>
                  <w:rFonts w:ascii="Times New Roman" w:hAnsi="Times New Roman" w:cs="Times New Roman"/>
                  <w:caps/>
                  <w:sz w:val="20"/>
                  <w:szCs w:val="20"/>
                </w:rPr>
                <w:t>3</w:t>
              </w:r>
              <w:r w:rsidR="007055E3">
                <w:rPr>
                  <w:rFonts w:ascii="Times New Roman" w:hAnsi="Times New Roman" w:cs="Times New Roman"/>
                  <w:caps/>
                  <w:sz w:val="20"/>
                  <w:szCs w:val="20"/>
                </w:rPr>
                <w:t>1</w:t>
              </w:r>
              <w:r w:rsidR="009025EC">
                <w:rPr>
                  <w:rFonts w:ascii="Times New Roman" w:hAnsi="Times New Roman" w:cs="Times New Roman"/>
                  <w:caps/>
                  <w:sz w:val="20"/>
                  <w:szCs w:val="20"/>
                </w:rPr>
                <w:t>-1</w:t>
              </w:r>
              <w:r w:rsidR="00234213">
                <w:rPr>
                  <w:rFonts w:ascii="Times New Roman" w:hAnsi="Times New Roman" w:cs="Times New Roman"/>
                  <w:caps/>
                  <w:sz w:val="20"/>
                  <w:szCs w:val="20"/>
                </w:rPr>
                <w:t>5</w:t>
              </w:r>
              <w:r w:rsidR="00812CD0">
                <w:rPr>
                  <w:rFonts w:ascii="Times New Roman" w:hAnsi="Times New Roman" w:cs="Times New Roman"/>
                  <w:caps/>
                  <w:sz w:val="20"/>
                  <w:szCs w:val="20"/>
                </w:rPr>
                <w:t>9</w:t>
              </w:r>
            </w:sdtContent>
          </w:sdt>
        </w:p>
      </w:tc>
    </w:tr>
  </w:tbl>
  <w:p w14:paraId="6C4E9CDE" w14:textId="77777777" w:rsidR="00B83210" w:rsidRDefault="00B832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551C1" w14:textId="77777777" w:rsidR="009025EC" w:rsidRDefault="00902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858F1"/>
    <w:multiLevelType w:val="multilevel"/>
    <w:tmpl w:val="CF407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A1B7A"/>
    <w:multiLevelType w:val="multilevel"/>
    <w:tmpl w:val="C114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34790"/>
    <w:multiLevelType w:val="multilevel"/>
    <w:tmpl w:val="4F9476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C803365"/>
    <w:multiLevelType w:val="multilevel"/>
    <w:tmpl w:val="BB10D3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D900265"/>
    <w:multiLevelType w:val="multilevel"/>
    <w:tmpl w:val="35627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9B0FD0"/>
    <w:multiLevelType w:val="multilevel"/>
    <w:tmpl w:val="C7B6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6725F7"/>
    <w:multiLevelType w:val="multilevel"/>
    <w:tmpl w:val="6D049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D62E50"/>
    <w:multiLevelType w:val="multilevel"/>
    <w:tmpl w:val="028C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3B12E6"/>
    <w:multiLevelType w:val="multilevel"/>
    <w:tmpl w:val="4FBE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0F3306"/>
    <w:multiLevelType w:val="multilevel"/>
    <w:tmpl w:val="26D88C32"/>
    <w:lvl w:ilvl="0">
      <w:numFmt w:val="bullet"/>
      <w:lvlText w:val="-"/>
      <w:lvlJc w:val="left"/>
      <w:pPr>
        <w:tabs>
          <w:tab w:val="num" w:pos="360"/>
        </w:tabs>
        <w:ind w:left="360" w:hanging="360"/>
      </w:pPr>
      <w:rPr>
        <w:rFonts w:ascii="Traditional Arabic" w:eastAsia="Times New Roman" w:hAnsi="Traditional Arabic" w:cs="Traditional Arabic" w:hint="default"/>
        <w:sz w:val="20"/>
      </w:rPr>
    </w:lvl>
    <w:lvl w:ilvl="1">
      <w:start w:val="1"/>
      <w:numFmt w:val="decimal"/>
      <w:lvlText w:val="%2."/>
      <w:lvlJc w:val="left"/>
      <w:pPr>
        <w:tabs>
          <w:tab w:val="num" w:pos="810"/>
        </w:tabs>
        <w:ind w:left="81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8714336"/>
    <w:multiLevelType w:val="multilevel"/>
    <w:tmpl w:val="6CEAB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75F67"/>
    <w:multiLevelType w:val="hybridMultilevel"/>
    <w:tmpl w:val="CAF6BC5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2C7B1CDE"/>
    <w:multiLevelType w:val="multilevel"/>
    <w:tmpl w:val="53D0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5F2CCF"/>
    <w:multiLevelType w:val="multilevel"/>
    <w:tmpl w:val="590C7F48"/>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14" w15:restartNumberingAfterBreak="0">
    <w:nsid w:val="2EDE4830"/>
    <w:multiLevelType w:val="multilevel"/>
    <w:tmpl w:val="4E2445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0084C66"/>
    <w:multiLevelType w:val="multilevel"/>
    <w:tmpl w:val="4C34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153E2"/>
    <w:multiLevelType w:val="multilevel"/>
    <w:tmpl w:val="9348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7A2834"/>
    <w:multiLevelType w:val="multilevel"/>
    <w:tmpl w:val="1B72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9760F2"/>
    <w:multiLevelType w:val="multilevel"/>
    <w:tmpl w:val="FFBC6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B969B7"/>
    <w:multiLevelType w:val="multilevel"/>
    <w:tmpl w:val="AD622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390F1B"/>
    <w:multiLevelType w:val="multilevel"/>
    <w:tmpl w:val="4B36AD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D278C2"/>
    <w:multiLevelType w:val="multilevel"/>
    <w:tmpl w:val="1A1028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3FF83D7A"/>
    <w:multiLevelType w:val="multilevel"/>
    <w:tmpl w:val="4094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C036AB"/>
    <w:multiLevelType w:val="multilevel"/>
    <w:tmpl w:val="D4D232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2FD2F09"/>
    <w:multiLevelType w:val="multilevel"/>
    <w:tmpl w:val="566A77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59A7350"/>
    <w:multiLevelType w:val="multilevel"/>
    <w:tmpl w:val="1382E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251CBA"/>
    <w:multiLevelType w:val="multilevel"/>
    <w:tmpl w:val="7A5A4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0E7461"/>
    <w:multiLevelType w:val="multilevel"/>
    <w:tmpl w:val="003E8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727886"/>
    <w:multiLevelType w:val="multilevel"/>
    <w:tmpl w:val="2F6EEE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6220FF1"/>
    <w:multiLevelType w:val="multilevel"/>
    <w:tmpl w:val="657CA9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9393AF4"/>
    <w:multiLevelType w:val="multilevel"/>
    <w:tmpl w:val="AB6CDC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170"/>
        </w:tabs>
        <w:ind w:left="117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DE069C"/>
    <w:multiLevelType w:val="multilevel"/>
    <w:tmpl w:val="6C90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B07C14"/>
    <w:multiLevelType w:val="multilevel"/>
    <w:tmpl w:val="AD3E9C9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5DD03633"/>
    <w:multiLevelType w:val="multilevel"/>
    <w:tmpl w:val="DCFA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B05AB6"/>
    <w:multiLevelType w:val="multilevel"/>
    <w:tmpl w:val="619AC0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C3577D"/>
    <w:multiLevelType w:val="multilevel"/>
    <w:tmpl w:val="636EEA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6278611F"/>
    <w:multiLevelType w:val="multilevel"/>
    <w:tmpl w:val="4E8CD38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4A719B"/>
    <w:multiLevelType w:val="multilevel"/>
    <w:tmpl w:val="15BC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991C6C"/>
    <w:multiLevelType w:val="multilevel"/>
    <w:tmpl w:val="05305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DE1006"/>
    <w:multiLevelType w:val="multilevel"/>
    <w:tmpl w:val="EE9211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932C50"/>
    <w:multiLevelType w:val="multilevel"/>
    <w:tmpl w:val="4986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C837C3"/>
    <w:multiLevelType w:val="multilevel"/>
    <w:tmpl w:val="E82A5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BF180B"/>
    <w:multiLevelType w:val="multilevel"/>
    <w:tmpl w:val="365CAE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E956A92"/>
    <w:multiLevelType w:val="multilevel"/>
    <w:tmpl w:val="223EF2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38"/>
  </w:num>
  <w:num w:numId="2">
    <w:abstractNumId w:val="27"/>
  </w:num>
  <w:num w:numId="3">
    <w:abstractNumId w:val="4"/>
  </w:num>
  <w:num w:numId="4">
    <w:abstractNumId w:val="18"/>
  </w:num>
  <w:num w:numId="5">
    <w:abstractNumId w:val="34"/>
  </w:num>
  <w:num w:numId="6">
    <w:abstractNumId w:val="39"/>
  </w:num>
  <w:num w:numId="7">
    <w:abstractNumId w:val="19"/>
  </w:num>
  <w:num w:numId="8">
    <w:abstractNumId w:val="6"/>
  </w:num>
  <w:num w:numId="9">
    <w:abstractNumId w:val="1"/>
  </w:num>
  <w:num w:numId="10">
    <w:abstractNumId w:val="17"/>
  </w:num>
  <w:num w:numId="11">
    <w:abstractNumId w:val="25"/>
  </w:num>
  <w:num w:numId="12">
    <w:abstractNumId w:val="12"/>
  </w:num>
  <w:num w:numId="13">
    <w:abstractNumId w:val="41"/>
  </w:num>
  <w:num w:numId="14">
    <w:abstractNumId w:val="22"/>
  </w:num>
  <w:num w:numId="15">
    <w:abstractNumId w:val="20"/>
  </w:num>
  <w:num w:numId="16">
    <w:abstractNumId w:val="24"/>
  </w:num>
  <w:num w:numId="17">
    <w:abstractNumId w:val="42"/>
  </w:num>
  <w:num w:numId="18">
    <w:abstractNumId w:val="3"/>
  </w:num>
  <w:num w:numId="19">
    <w:abstractNumId w:val="2"/>
  </w:num>
  <w:num w:numId="20">
    <w:abstractNumId w:val="35"/>
  </w:num>
  <w:num w:numId="21">
    <w:abstractNumId w:val="23"/>
  </w:num>
  <w:num w:numId="22">
    <w:abstractNumId w:val="29"/>
  </w:num>
  <w:num w:numId="23">
    <w:abstractNumId w:val="21"/>
  </w:num>
  <w:num w:numId="24">
    <w:abstractNumId w:val="16"/>
  </w:num>
  <w:num w:numId="25">
    <w:abstractNumId w:val="13"/>
  </w:num>
  <w:num w:numId="26">
    <w:abstractNumId w:val="37"/>
  </w:num>
  <w:num w:numId="27">
    <w:abstractNumId w:val="14"/>
  </w:num>
  <w:num w:numId="28">
    <w:abstractNumId w:val="5"/>
  </w:num>
  <w:num w:numId="29">
    <w:abstractNumId w:val="11"/>
  </w:num>
  <w:num w:numId="30">
    <w:abstractNumId w:val="30"/>
  </w:num>
  <w:num w:numId="31">
    <w:abstractNumId w:val="40"/>
  </w:num>
  <w:num w:numId="32">
    <w:abstractNumId w:val="7"/>
  </w:num>
  <w:num w:numId="33">
    <w:abstractNumId w:val="8"/>
  </w:num>
  <w:num w:numId="34">
    <w:abstractNumId w:val="10"/>
  </w:num>
  <w:num w:numId="35">
    <w:abstractNumId w:val="15"/>
  </w:num>
  <w:num w:numId="36">
    <w:abstractNumId w:val="26"/>
  </w:num>
  <w:num w:numId="37">
    <w:abstractNumId w:val="31"/>
  </w:num>
  <w:num w:numId="38">
    <w:abstractNumId w:val="0"/>
  </w:num>
  <w:num w:numId="39">
    <w:abstractNumId w:val="9"/>
  </w:num>
  <w:num w:numId="40">
    <w:abstractNumId w:val="36"/>
  </w:num>
  <w:num w:numId="41">
    <w:abstractNumId w:val="32"/>
  </w:num>
  <w:num w:numId="42">
    <w:abstractNumId w:val="28"/>
  </w:num>
  <w:num w:numId="43">
    <w:abstractNumId w:val="33"/>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DB9"/>
    <w:rsid w:val="00017B15"/>
    <w:rsid w:val="00033A45"/>
    <w:rsid w:val="00110B14"/>
    <w:rsid w:val="00117BEB"/>
    <w:rsid w:val="001346F3"/>
    <w:rsid w:val="00151423"/>
    <w:rsid w:val="00164E1A"/>
    <w:rsid w:val="001C11DA"/>
    <w:rsid w:val="001D4E8A"/>
    <w:rsid w:val="00212F4B"/>
    <w:rsid w:val="00234213"/>
    <w:rsid w:val="002B2BE5"/>
    <w:rsid w:val="002C2F8C"/>
    <w:rsid w:val="002F6CA6"/>
    <w:rsid w:val="00310945"/>
    <w:rsid w:val="00326DB9"/>
    <w:rsid w:val="00337017"/>
    <w:rsid w:val="003411AA"/>
    <w:rsid w:val="00370286"/>
    <w:rsid w:val="00374726"/>
    <w:rsid w:val="00396312"/>
    <w:rsid w:val="003C1CA5"/>
    <w:rsid w:val="003C7E42"/>
    <w:rsid w:val="00407D7B"/>
    <w:rsid w:val="004110E6"/>
    <w:rsid w:val="00437626"/>
    <w:rsid w:val="00457910"/>
    <w:rsid w:val="00462E36"/>
    <w:rsid w:val="004842B1"/>
    <w:rsid w:val="0048758C"/>
    <w:rsid w:val="004E3409"/>
    <w:rsid w:val="00506002"/>
    <w:rsid w:val="0058323A"/>
    <w:rsid w:val="00593D5D"/>
    <w:rsid w:val="005D5609"/>
    <w:rsid w:val="006A6DF1"/>
    <w:rsid w:val="007055E3"/>
    <w:rsid w:val="00726425"/>
    <w:rsid w:val="00732AE2"/>
    <w:rsid w:val="007753B0"/>
    <w:rsid w:val="007B65BF"/>
    <w:rsid w:val="007B69CB"/>
    <w:rsid w:val="007E218F"/>
    <w:rsid w:val="007F53B6"/>
    <w:rsid w:val="00812CD0"/>
    <w:rsid w:val="008C10C9"/>
    <w:rsid w:val="009025EC"/>
    <w:rsid w:val="00905C31"/>
    <w:rsid w:val="00932913"/>
    <w:rsid w:val="009B04FA"/>
    <w:rsid w:val="00A03CE3"/>
    <w:rsid w:val="00A60C33"/>
    <w:rsid w:val="00AA7C57"/>
    <w:rsid w:val="00AE2CBC"/>
    <w:rsid w:val="00B01315"/>
    <w:rsid w:val="00B800F8"/>
    <w:rsid w:val="00B83210"/>
    <w:rsid w:val="00BC44D8"/>
    <w:rsid w:val="00C06161"/>
    <w:rsid w:val="00C138FE"/>
    <w:rsid w:val="00C26084"/>
    <w:rsid w:val="00C66DB3"/>
    <w:rsid w:val="00C73CC7"/>
    <w:rsid w:val="00C926E0"/>
    <w:rsid w:val="00CC30D4"/>
    <w:rsid w:val="00CF1BBB"/>
    <w:rsid w:val="00D132F3"/>
    <w:rsid w:val="00D1386A"/>
    <w:rsid w:val="00D15B49"/>
    <w:rsid w:val="00D26463"/>
    <w:rsid w:val="00D67015"/>
    <w:rsid w:val="00E03815"/>
    <w:rsid w:val="00E06898"/>
    <w:rsid w:val="00E64BC2"/>
    <w:rsid w:val="00E9193C"/>
    <w:rsid w:val="00EF795E"/>
    <w:rsid w:val="00F37118"/>
    <w:rsid w:val="00F630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95C91"/>
  <w15:chartTrackingRefBased/>
  <w15:docId w15:val="{76F7827B-CC0A-4731-9892-83809569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C57"/>
  </w:style>
  <w:style w:type="paragraph" w:styleId="Heading1">
    <w:name w:val="heading 1"/>
    <w:basedOn w:val="Normal"/>
    <w:next w:val="Normal"/>
    <w:link w:val="Heading1Char"/>
    <w:uiPriority w:val="9"/>
    <w:qFormat/>
    <w:rsid w:val="00326D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6D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26D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6D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6D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6D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D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D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D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D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6D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26D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6D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6D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6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DB9"/>
    <w:rPr>
      <w:rFonts w:eastAsiaTheme="majorEastAsia" w:cstheme="majorBidi"/>
      <w:color w:val="272727" w:themeColor="text1" w:themeTint="D8"/>
    </w:rPr>
  </w:style>
  <w:style w:type="paragraph" w:styleId="Title">
    <w:name w:val="Title"/>
    <w:basedOn w:val="Normal"/>
    <w:next w:val="Normal"/>
    <w:link w:val="TitleChar"/>
    <w:uiPriority w:val="10"/>
    <w:qFormat/>
    <w:rsid w:val="00326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DB9"/>
    <w:pPr>
      <w:spacing w:before="160"/>
      <w:jc w:val="center"/>
    </w:pPr>
    <w:rPr>
      <w:i/>
      <w:iCs/>
      <w:color w:val="404040" w:themeColor="text1" w:themeTint="BF"/>
    </w:rPr>
  </w:style>
  <w:style w:type="character" w:customStyle="1" w:styleId="QuoteChar">
    <w:name w:val="Quote Char"/>
    <w:basedOn w:val="DefaultParagraphFont"/>
    <w:link w:val="Quote"/>
    <w:uiPriority w:val="29"/>
    <w:rsid w:val="00326DB9"/>
    <w:rPr>
      <w:i/>
      <w:iCs/>
      <w:color w:val="404040" w:themeColor="text1" w:themeTint="BF"/>
    </w:rPr>
  </w:style>
  <w:style w:type="paragraph" w:styleId="ListParagraph">
    <w:name w:val="List Paragraph"/>
    <w:basedOn w:val="Normal"/>
    <w:uiPriority w:val="34"/>
    <w:qFormat/>
    <w:rsid w:val="00326DB9"/>
    <w:pPr>
      <w:ind w:left="720"/>
      <w:contextualSpacing/>
    </w:pPr>
  </w:style>
  <w:style w:type="character" w:styleId="IntenseEmphasis">
    <w:name w:val="Intense Emphasis"/>
    <w:basedOn w:val="DefaultParagraphFont"/>
    <w:uiPriority w:val="21"/>
    <w:qFormat/>
    <w:rsid w:val="00326DB9"/>
    <w:rPr>
      <w:i/>
      <w:iCs/>
      <w:color w:val="2F5496" w:themeColor="accent1" w:themeShade="BF"/>
    </w:rPr>
  </w:style>
  <w:style w:type="paragraph" w:styleId="IntenseQuote">
    <w:name w:val="Intense Quote"/>
    <w:basedOn w:val="Normal"/>
    <w:next w:val="Normal"/>
    <w:link w:val="IntenseQuoteChar"/>
    <w:uiPriority w:val="30"/>
    <w:qFormat/>
    <w:rsid w:val="00326D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6DB9"/>
    <w:rPr>
      <w:i/>
      <w:iCs/>
      <w:color w:val="2F5496" w:themeColor="accent1" w:themeShade="BF"/>
    </w:rPr>
  </w:style>
  <w:style w:type="character" w:styleId="IntenseReference">
    <w:name w:val="Intense Reference"/>
    <w:basedOn w:val="DefaultParagraphFont"/>
    <w:uiPriority w:val="32"/>
    <w:qFormat/>
    <w:rsid w:val="00326DB9"/>
    <w:rPr>
      <w:b/>
      <w:bCs/>
      <w:smallCaps/>
      <w:color w:val="2F5496" w:themeColor="accent1" w:themeShade="BF"/>
      <w:spacing w:val="5"/>
    </w:rPr>
  </w:style>
  <w:style w:type="paragraph" w:styleId="NormalWeb">
    <w:name w:val="Normal (Web)"/>
    <w:basedOn w:val="Normal"/>
    <w:uiPriority w:val="99"/>
    <w:unhideWhenUsed/>
    <w:rsid w:val="00326DB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326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DB9"/>
  </w:style>
  <w:style w:type="paragraph" w:styleId="Footer">
    <w:name w:val="footer"/>
    <w:basedOn w:val="Normal"/>
    <w:link w:val="FooterChar"/>
    <w:uiPriority w:val="99"/>
    <w:unhideWhenUsed/>
    <w:rsid w:val="00326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DB9"/>
  </w:style>
  <w:style w:type="character" w:styleId="Emphasis">
    <w:name w:val="Emphasis"/>
    <w:basedOn w:val="DefaultParagraphFont"/>
    <w:uiPriority w:val="20"/>
    <w:qFormat/>
    <w:rsid w:val="00326DB9"/>
    <w:rPr>
      <w:i/>
      <w:iCs/>
    </w:rPr>
  </w:style>
  <w:style w:type="character" w:styleId="Strong">
    <w:name w:val="Strong"/>
    <w:basedOn w:val="DefaultParagraphFont"/>
    <w:uiPriority w:val="22"/>
    <w:qFormat/>
    <w:rsid w:val="00326DB9"/>
    <w:rPr>
      <w:b/>
      <w:bCs/>
    </w:rPr>
  </w:style>
  <w:style w:type="character" w:styleId="Hyperlink">
    <w:name w:val="Hyperlink"/>
    <w:basedOn w:val="DefaultParagraphFont"/>
    <w:uiPriority w:val="99"/>
    <w:unhideWhenUsed/>
    <w:rsid w:val="00326DB9"/>
    <w:rPr>
      <w:color w:val="0563C1" w:themeColor="hyperlink"/>
      <w:u w:val="single"/>
    </w:rPr>
  </w:style>
  <w:style w:type="paragraph" w:customStyle="1" w:styleId="whitespace-normal">
    <w:name w:val="whitespace-normal"/>
    <w:basedOn w:val="Normal"/>
    <w:rsid w:val="00326DB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nresolvedMention1">
    <w:name w:val="Unresolved Mention1"/>
    <w:basedOn w:val="DefaultParagraphFont"/>
    <w:uiPriority w:val="99"/>
    <w:semiHidden/>
    <w:unhideWhenUsed/>
    <w:rsid w:val="00326DB9"/>
    <w:rPr>
      <w:color w:val="605E5C"/>
      <w:shd w:val="clear" w:color="auto" w:fill="E1DFDD"/>
    </w:rPr>
  </w:style>
  <w:style w:type="paragraph" w:styleId="FootnoteText">
    <w:name w:val="footnote text"/>
    <w:basedOn w:val="Normal"/>
    <w:link w:val="FootnoteTextChar"/>
    <w:uiPriority w:val="99"/>
    <w:semiHidden/>
    <w:unhideWhenUsed/>
    <w:rsid w:val="00462E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2E36"/>
    <w:rPr>
      <w:sz w:val="20"/>
      <w:szCs w:val="20"/>
    </w:rPr>
  </w:style>
  <w:style w:type="character" w:styleId="FootnoteReference">
    <w:name w:val="footnote reference"/>
    <w:basedOn w:val="DefaultParagraphFont"/>
    <w:uiPriority w:val="99"/>
    <w:semiHidden/>
    <w:unhideWhenUsed/>
    <w:rsid w:val="00462E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8.png"/><Relationship Id="rId26" Type="http://schemas.openxmlformats.org/officeDocument/2006/relationships/hyperlink" Target="https://doi.org/10.25300/MISQ/2013/37:2.3" TargetMode="External"/><Relationship Id="rId21" Type="http://schemas.openxmlformats.org/officeDocument/2006/relationships/hyperlink" Target="https://doi.org/10.1016/j.jaccpubpol.2018.08.003"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7.png"/><Relationship Id="rId25" Type="http://schemas.openxmlformats.org/officeDocument/2006/relationships/hyperlink" Target="https://doi.org/10.22452/ojimf.vol5no1.9"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2u.pw/yLrEty)" TargetMode="External"/><Relationship Id="rId29" Type="http://schemas.openxmlformats.org/officeDocument/2006/relationships/hyperlink" Target="https://doi.org/10.22452/ojimf.vol6no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yperlink" Target="https://www.bis.org/publ/bcbs128.pdf"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yperlink" Target="https://doi.org/10.1017/CBO9780511753756" TargetMode="External"/><Relationship Id="rId28" Type="http://schemas.openxmlformats.org/officeDocument/2006/relationships/hyperlink" Target="https://doi.org/10.32890/ijbf2021.16.1.2"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file:///C:\Users\Ahmed\Desktop\&#1576;&#1581;&#1608;&#1579;%20&#1575;&#1604;&#1601;&#1602;&#1607;\a.alrumaithah@gmail.com" TargetMode="External"/><Relationship Id="rId14" Type="http://schemas.openxmlformats.org/officeDocument/2006/relationships/diagramColors" Target="diagrams/colors1.xml"/><Relationship Id="rId22" Type="http://schemas.openxmlformats.org/officeDocument/2006/relationships/hyperlink" Target="https://doi.org/10.1080/02102412.2019.1623847" TargetMode="External"/><Relationship Id="rId27" Type="http://schemas.openxmlformats.org/officeDocument/2006/relationships/hyperlink" Target="https://doi.org/10.2308/ISYS-19-025"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mailto:Dr.alisharar@hotmail.com" TargetMode="External"/><Relationship Id="rId3" Type="http://schemas.openxmlformats.org/officeDocument/2006/relationships/styles" Target="styles.xml"/></Relationships>
</file>

<file path=word/diagrams/_rels/data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041D7BE-5165-4287-8C02-DCCB11AD619F}" type="doc">
      <dgm:prSet loTypeId="urn:microsoft.com/office/officeart/2011/layout/RadialPictureList" loCatId="officeonline" qsTypeId="urn:microsoft.com/office/officeart/2005/8/quickstyle/simple1#1" qsCatId="simple" csTypeId="urn:microsoft.com/office/officeart/2005/8/colors/accent1_2#1" csCatId="accent1" phldr="1"/>
      <dgm:spPr/>
      <dgm:t>
        <a:bodyPr/>
        <a:lstStyle/>
        <a:p>
          <a:endParaRPr lang="en-US"/>
        </a:p>
      </dgm:t>
    </dgm:pt>
    <dgm:pt modelId="{B9A072F7-1AC1-4155-B600-022B911149BB}">
      <dgm:prSet phldrT="[Text]"/>
      <dgm:spPr>
        <a:xfrm>
          <a:off x="1408892" y="894511"/>
          <a:ext cx="1400940" cy="1400815"/>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ar-SA">
              <a:solidFill>
                <a:sysClr val="window" lastClr="FFFFFF"/>
              </a:solidFill>
              <a:latin typeface="Calibri" panose="020F0502020204030204"/>
              <a:ea typeface="+mn-ea"/>
              <a:cs typeface="Arial" panose="020B0604020202020204" pitchFamily="34" charset="0"/>
            </a:rPr>
            <a:t>زيادة الكفاءة والدقة في قياس المخاطر المبكرة</a:t>
          </a:r>
          <a:endParaRPr lang="en-US">
            <a:solidFill>
              <a:sysClr val="window" lastClr="FFFFFF"/>
            </a:solidFill>
            <a:latin typeface="Calibri" panose="020F0502020204030204"/>
            <a:ea typeface="+mn-ea"/>
            <a:cs typeface="+mn-cs"/>
          </a:endParaRPr>
        </a:p>
      </dgm:t>
    </dgm:pt>
    <dgm:pt modelId="{27F5284E-41FD-467B-9378-2C21B5602661}" type="parTrans" cxnId="{27A17A51-4837-42F5-9518-04A3B485E947}">
      <dgm:prSet/>
      <dgm:spPr/>
      <dgm:t>
        <a:bodyPr/>
        <a:lstStyle/>
        <a:p>
          <a:endParaRPr lang="en-US"/>
        </a:p>
      </dgm:t>
    </dgm:pt>
    <dgm:pt modelId="{24E252B7-C689-449C-954A-6B141FDA5C40}" type="sibTrans" cxnId="{27A17A51-4837-42F5-9518-04A3B485E947}">
      <dgm:prSet/>
      <dgm:spPr/>
      <dgm:t>
        <a:bodyPr/>
        <a:lstStyle/>
        <a:p>
          <a:endParaRPr lang="en-US"/>
        </a:p>
      </dgm:t>
    </dgm:pt>
    <dgm:pt modelId="{BB5395C4-C720-4053-B06A-517733AA0A9C}">
      <dgm:prSet phldrT="[Text]"/>
      <dgm:spPr>
        <a:xfrm>
          <a:off x="3794933" y="712089"/>
          <a:ext cx="1004843" cy="726490"/>
        </a:xfrm>
        <a:prstGeom prst="rect">
          <a:avLst/>
        </a:prstGeom>
        <a:noFill/>
        <a:ln>
          <a:noFill/>
        </a:ln>
        <a:effectLst/>
      </dgm:spPr>
      <dgm:t>
        <a:bodyPr/>
        <a:lstStyle/>
        <a:p>
          <a:pPr>
            <a:buNone/>
          </a:pPr>
          <a:r>
            <a:rPr lang="ar-SA">
              <a:solidFill>
                <a:sysClr val="windowText" lastClr="000000">
                  <a:hueOff val="0"/>
                  <a:satOff val="0"/>
                  <a:lumOff val="0"/>
                  <a:alphaOff val="0"/>
                </a:sysClr>
              </a:solidFill>
              <a:latin typeface="Calibri" panose="020F0502020204030204"/>
              <a:ea typeface="+mn-ea"/>
              <a:cs typeface="Arial" panose="020B0604020202020204" pitchFamily="34" charset="0"/>
            </a:rPr>
            <a:t>تحليل البيانات الفوري</a:t>
          </a:r>
          <a:r>
            <a:rPr lang="en-US">
              <a:solidFill>
                <a:sysClr val="windowText" lastClr="000000">
                  <a:hueOff val="0"/>
                  <a:satOff val="0"/>
                  <a:lumOff val="0"/>
                  <a:alphaOff val="0"/>
                </a:sysClr>
              </a:solidFill>
              <a:latin typeface="Calibri" panose="020F0502020204030204"/>
              <a:ea typeface="+mn-ea"/>
              <a:cs typeface="+mn-cs"/>
            </a:rPr>
            <a:t>: </a:t>
          </a:r>
        </a:p>
      </dgm:t>
    </dgm:pt>
    <dgm:pt modelId="{C678B7AA-8AAF-4340-AEB9-41BA1276AA7A}" type="parTrans" cxnId="{F1FF0D6D-DF49-4177-8BE5-05D12B62F2CD}">
      <dgm:prSet/>
      <dgm:spPr/>
      <dgm:t>
        <a:bodyPr/>
        <a:lstStyle/>
        <a:p>
          <a:endParaRPr lang="en-US"/>
        </a:p>
      </dgm:t>
    </dgm:pt>
    <dgm:pt modelId="{5520EA8F-C756-4CF3-9D61-036D25AF55C6}" type="sibTrans" cxnId="{F1FF0D6D-DF49-4177-8BE5-05D12B62F2CD}">
      <dgm:prSet/>
      <dgm:spPr/>
      <dgm:t>
        <a:bodyPr/>
        <a:lstStyle/>
        <a:p>
          <a:endParaRPr lang="en-US"/>
        </a:p>
      </dgm:t>
    </dgm:pt>
    <dgm:pt modelId="{67851F02-D306-41F7-9C75-B2EB4ED293B6}">
      <dgm:prSet phldrT="[Text]"/>
      <dgm:spPr>
        <a:xfrm>
          <a:off x="3794933" y="1738777"/>
          <a:ext cx="1004843" cy="726490"/>
        </a:xfrm>
        <a:prstGeom prst="rect">
          <a:avLst/>
        </a:prstGeom>
        <a:noFill/>
        <a:ln>
          <a:noFill/>
        </a:ln>
        <a:effectLst/>
      </dgm:spPr>
      <dgm:t>
        <a:bodyPr/>
        <a:lstStyle/>
        <a:p>
          <a:pPr>
            <a:buNone/>
          </a:pPr>
          <a:r>
            <a:rPr lang="ar-SA">
              <a:solidFill>
                <a:sysClr val="windowText" lastClr="000000">
                  <a:hueOff val="0"/>
                  <a:satOff val="0"/>
                  <a:lumOff val="0"/>
                  <a:alphaOff val="0"/>
                </a:sysClr>
              </a:solidFill>
              <a:latin typeface="Calibri" panose="020F0502020204030204"/>
              <a:ea typeface="+mn-ea"/>
              <a:cs typeface="Arial" panose="020B0604020202020204" pitchFamily="34" charset="0"/>
            </a:rPr>
            <a:t>الشفافية والمساءلة</a:t>
          </a:r>
          <a:endParaRPr lang="en-US">
            <a:solidFill>
              <a:sysClr val="windowText" lastClr="000000">
                <a:hueOff val="0"/>
                <a:satOff val="0"/>
                <a:lumOff val="0"/>
                <a:alphaOff val="0"/>
              </a:sysClr>
            </a:solidFill>
            <a:latin typeface="Calibri" panose="020F0502020204030204"/>
            <a:ea typeface="+mn-ea"/>
            <a:cs typeface="+mn-cs"/>
          </a:endParaRPr>
        </a:p>
      </dgm:t>
    </dgm:pt>
    <dgm:pt modelId="{1BF189F4-9833-4C01-846E-63E0CC309A2D}" type="parTrans" cxnId="{CC0C564D-22D5-4984-B455-4C48A7C0BF29}">
      <dgm:prSet/>
      <dgm:spPr/>
      <dgm:t>
        <a:bodyPr/>
        <a:lstStyle/>
        <a:p>
          <a:endParaRPr lang="en-US"/>
        </a:p>
      </dgm:t>
    </dgm:pt>
    <dgm:pt modelId="{3E787B69-0C72-4894-B9B3-BD16F72F0CDE}" type="sibTrans" cxnId="{CC0C564D-22D5-4984-B455-4C48A7C0BF29}">
      <dgm:prSet/>
      <dgm:spPr/>
      <dgm:t>
        <a:bodyPr/>
        <a:lstStyle/>
        <a:p>
          <a:endParaRPr lang="en-US"/>
        </a:p>
      </dgm:t>
    </dgm:pt>
    <dgm:pt modelId="{48B92EBC-6CC2-4A2B-95E2-831E01D71D08}">
      <dgm:prSet phldrT="[Text]"/>
      <dgm:spPr>
        <a:xfrm>
          <a:off x="3242536" y="2465268"/>
          <a:ext cx="1004843" cy="726490"/>
        </a:xfrm>
        <a:prstGeom prst="rect">
          <a:avLst/>
        </a:prstGeom>
        <a:noFill/>
        <a:ln>
          <a:noFill/>
        </a:ln>
        <a:effectLst/>
      </dgm:spPr>
      <dgm:t>
        <a:bodyPr/>
        <a:lstStyle/>
        <a:p>
          <a:pPr>
            <a:buNone/>
          </a:pPr>
          <a:r>
            <a:rPr lang="ar-SA">
              <a:solidFill>
                <a:sysClr val="windowText" lastClr="000000">
                  <a:hueOff val="0"/>
                  <a:satOff val="0"/>
                  <a:lumOff val="0"/>
                  <a:alphaOff val="0"/>
                </a:sysClr>
              </a:solidFill>
              <a:latin typeface="Calibri" panose="020F0502020204030204"/>
              <a:ea typeface="+mn-ea"/>
              <a:cs typeface="Arial" panose="020B0604020202020204" pitchFamily="34" charset="0"/>
            </a:rPr>
            <a:t>التوثيق</a:t>
          </a:r>
          <a:endParaRPr lang="en-US">
            <a:solidFill>
              <a:sysClr val="windowText" lastClr="000000">
                <a:hueOff val="0"/>
                <a:satOff val="0"/>
                <a:lumOff val="0"/>
                <a:alphaOff val="0"/>
              </a:sysClr>
            </a:solidFill>
            <a:latin typeface="Calibri" panose="020F0502020204030204"/>
            <a:ea typeface="+mn-ea"/>
            <a:cs typeface="+mn-cs"/>
          </a:endParaRPr>
        </a:p>
      </dgm:t>
    </dgm:pt>
    <dgm:pt modelId="{D2CA54E3-39E2-4BD5-9F13-321579FCEB08}" type="parTrans" cxnId="{9877EB2A-3F71-438F-9FAA-07D5E6ED425C}">
      <dgm:prSet/>
      <dgm:spPr/>
      <dgm:t>
        <a:bodyPr/>
        <a:lstStyle/>
        <a:p>
          <a:endParaRPr lang="en-US"/>
        </a:p>
      </dgm:t>
    </dgm:pt>
    <dgm:pt modelId="{EFF7FBBB-F964-422C-A44F-86DDD7A12DF5}" type="sibTrans" cxnId="{9877EB2A-3F71-438F-9FAA-07D5E6ED425C}">
      <dgm:prSet/>
      <dgm:spPr/>
      <dgm:t>
        <a:bodyPr/>
        <a:lstStyle/>
        <a:p>
          <a:endParaRPr lang="en-US"/>
        </a:p>
      </dgm:t>
    </dgm:pt>
    <dgm:pt modelId="{863919C1-6525-4562-AB66-F7172A62E97F}">
      <dgm:prSet phldrT="[Text]"/>
      <dgm:spPr>
        <a:xfrm>
          <a:off x="3242536" y="9601"/>
          <a:ext cx="1004843" cy="726490"/>
        </a:xfrm>
        <a:prstGeom prst="rect">
          <a:avLst/>
        </a:prstGeom>
        <a:noFill/>
        <a:ln>
          <a:noFill/>
        </a:ln>
        <a:effectLst/>
      </dgm:spPr>
      <dgm:t>
        <a:bodyPr/>
        <a:lstStyle/>
        <a:p>
          <a:pPr>
            <a:buNone/>
          </a:pPr>
          <a:r>
            <a:rPr lang="ar-SA">
              <a:solidFill>
                <a:sysClr val="windowText" lastClr="000000">
                  <a:hueOff val="0"/>
                  <a:satOff val="0"/>
                  <a:lumOff val="0"/>
                  <a:alphaOff val="0"/>
                </a:sysClr>
              </a:solidFill>
              <a:latin typeface="Calibri" panose="020F0502020204030204"/>
              <a:ea typeface="+mn-ea"/>
              <a:cs typeface="Arial" panose="020B0604020202020204" pitchFamily="34" charset="0"/>
            </a:rPr>
            <a:t>نماذج التقييم الائتماني </a:t>
          </a:r>
          <a:endParaRPr lang="en-US">
            <a:solidFill>
              <a:sysClr val="windowText" lastClr="000000">
                <a:hueOff val="0"/>
                <a:satOff val="0"/>
                <a:lumOff val="0"/>
                <a:alphaOff val="0"/>
              </a:sysClr>
            </a:solidFill>
            <a:latin typeface="Calibri" panose="020F0502020204030204"/>
            <a:ea typeface="+mn-ea"/>
            <a:cs typeface="+mn-cs"/>
          </a:endParaRPr>
        </a:p>
      </dgm:t>
    </dgm:pt>
    <dgm:pt modelId="{DC9E56AA-DA42-4549-8886-9C757F1404E9}" type="parTrans" cxnId="{C11EBBEA-6EEB-4780-BA4D-E760B362056F}">
      <dgm:prSet/>
      <dgm:spPr/>
      <dgm:t>
        <a:bodyPr/>
        <a:lstStyle/>
        <a:p>
          <a:endParaRPr lang="en-US"/>
        </a:p>
      </dgm:t>
    </dgm:pt>
    <dgm:pt modelId="{21AD49D9-C352-4160-BBD9-77538865DC56}" type="sibTrans" cxnId="{C11EBBEA-6EEB-4780-BA4D-E760B362056F}">
      <dgm:prSet/>
      <dgm:spPr/>
      <dgm:t>
        <a:bodyPr/>
        <a:lstStyle/>
        <a:p>
          <a:endParaRPr lang="en-US"/>
        </a:p>
      </dgm:t>
    </dgm:pt>
    <dgm:pt modelId="{16FFF318-37A7-4C4F-B191-209AA381F128}" type="pres">
      <dgm:prSet presAssocID="{B041D7BE-5165-4287-8C02-DCCB11AD619F}" presName="Name0" presStyleCnt="0">
        <dgm:presLayoutVars>
          <dgm:chMax val="1"/>
          <dgm:chPref val="1"/>
          <dgm:dir/>
          <dgm:resizeHandles/>
        </dgm:presLayoutVars>
      </dgm:prSet>
      <dgm:spPr/>
    </dgm:pt>
    <dgm:pt modelId="{7BE04982-271B-481C-9B8B-A35A591E26ED}" type="pres">
      <dgm:prSet presAssocID="{B9A072F7-1AC1-4155-B600-022B911149BB}" presName="Parent" presStyleLbl="node1" presStyleIdx="0" presStyleCnt="2">
        <dgm:presLayoutVars>
          <dgm:chMax val="4"/>
          <dgm:chPref val="3"/>
        </dgm:presLayoutVars>
      </dgm:prSet>
      <dgm:spPr/>
    </dgm:pt>
    <dgm:pt modelId="{A28BC8A4-8747-49AE-9E5D-F9D2A38D17F5}" type="pres">
      <dgm:prSet presAssocID="{863919C1-6525-4562-AB66-F7172A62E97F}" presName="Accent" presStyleLbl="node1" presStyleIdx="1" presStyleCnt="2"/>
      <dgm:spPr>
        <a:xfrm>
          <a:off x="686622" y="115534"/>
          <a:ext cx="2823680" cy="2943407"/>
        </a:xfrm>
        <a:prstGeom prst="blockArc">
          <a:avLst>
            <a:gd name="adj1" fmla="val 16509444"/>
            <a:gd name="adj2" fmla="val 5088054"/>
            <a:gd name="adj3" fmla="val 524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0F07874-FC06-4390-AB94-4CA30042CA22}" type="pres">
      <dgm:prSet presAssocID="{863919C1-6525-4562-AB66-F7172A62E97F}" presName="Image1" presStyleLbl="fgImgPlace1" presStyleIdx="0" presStyleCnt="4"/>
      <dgm:spPr>
        <a:xfrm>
          <a:off x="2434713" y="0"/>
          <a:ext cx="750650" cy="750493"/>
        </a:xfrm>
        <a:prstGeom prst="ellipse">
          <a:avLst/>
        </a:prstGeom>
        <a:blipFill>
          <a:blip xmlns:r="http://schemas.openxmlformats.org/officeDocument/2006/relationships" r:embed="rId1"/>
          <a:srcRect/>
          <a:stretch>
            <a:fillRect/>
          </a:stretch>
        </a:blipFill>
        <a:ln w="12700" cap="flat" cmpd="sng" algn="ctr">
          <a:solidFill>
            <a:sysClr val="window" lastClr="FFFFFF">
              <a:hueOff val="0"/>
              <a:satOff val="0"/>
              <a:lumOff val="0"/>
              <a:alphaOff val="0"/>
            </a:sysClr>
          </a:solidFill>
          <a:prstDash val="solid"/>
          <a:miter lim="800000"/>
        </a:ln>
        <a:effectLst/>
      </dgm:spPr>
    </dgm:pt>
    <dgm:pt modelId="{2448FC52-F290-49CA-960F-71AAB99E9828}" type="pres">
      <dgm:prSet presAssocID="{863919C1-6525-4562-AB66-F7172A62E97F}" presName="Child1" presStyleLbl="revTx" presStyleIdx="0" presStyleCnt="4">
        <dgm:presLayoutVars>
          <dgm:chMax val="0"/>
          <dgm:chPref val="0"/>
          <dgm:bulletEnabled val="1"/>
        </dgm:presLayoutVars>
      </dgm:prSet>
      <dgm:spPr/>
    </dgm:pt>
    <dgm:pt modelId="{DA48BFD8-4532-4885-A87F-0B95AD517D78}" type="pres">
      <dgm:prSet presAssocID="{BB5395C4-C720-4053-B06A-517733AA0A9C}" presName="Image2" presStyleCnt="0"/>
      <dgm:spPr/>
    </dgm:pt>
    <dgm:pt modelId="{D4B9E344-22CF-4EC8-BF87-D3556549A2EF}" type="pres">
      <dgm:prSet presAssocID="{BB5395C4-C720-4053-B06A-517733AA0A9C}" presName="Image" presStyleLbl="fgImgPlace1" presStyleIdx="1" presStyleCnt="4"/>
      <dgm:spPr>
        <a:xfrm>
          <a:off x="2989166" y="698967"/>
          <a:ext cx="750650" cy="750493"/>
        </a:xfrm>
        <a:prstGeom prst="ellipse">
          <a:avLst/>
        </a:prstGeom>
        <a:blipFill>
          <a:blip xmlns:r="http://schemas.openxmlformats.org/officeDocument/2006/relationships" r:embed="rId2"/>
          <a:srcRect/>
          <a:stretch>
            <a:fillRect/>
          </a:stretch>
        </a:blipFill>
        <a:ln w="12700" cap="flat" cmpd="sng" algn="ctr">
          <a:solidFill>
            <a:sysClr val="window" lastClr="FFFFFF">
              <a:hueOff val="0"/>
              <a:satOff val="0"/>
              <a:lumOff val="0"/>
              <a:alphaOff val="0"/>
            </a:sysClr>
          </a:solidFill>
          <a:prstDash val="solid"/>
          <a:miter lim="800000"/>
        </a:ln>
        <a:effectLst/>
      </dgm:spPr>
    </dgm:pt>
    <dgm:pt modelId="{1447C5FD-AC34-427E-8ACF-60F790371BE5}" type="pres">
      <dgm:prSet presAssocID="{BB5395C4-C720-4053-B06A-517733AA0A9C}" presName="Child2" presStyleLbl="revTx" presStyleIdx="1" presStyleCnt="4">
        <dgm:presLayoutVars>
          <dgm:chMax val="0"/>
          <dgm:chPref val="0"/>
          <dgm:bulletEnabled val="1"/>
        </dgm:presLayoutVars>
      </dgm:prSet>
      <dgm:spPr/>
    </dgm:pt>
    <dgm:pt modelId="{760B1420-5409-4829-87CE-C9799AAE8C28}" type="pres">
      <dgm:prSet presAssocID="{67851F02-D306-41F7-9C75-B2EB4ED293B6}" presName="Image3" presStyleCnt="0"/>
      <dgm:spPr/>
    </dgm:pt>
    <dgm:pt modelId="{75FFEEAA-F244-4130-AA29-9C78E8F7C524}" type="pres">
      <dgm:prSet presAssocID="{67851F02-D306-41F7-9C75-B2EB4ED293B6}" presName="Image" presStyleLbl="fgImgPlace1" presStyleIdx="2" presStyleCnt="4"/>
      <dgm:spPr>
        <a:xfrm>
          <a:off x="2986287" y="1726615"/>
          <a:ext cx="750650" cy="750493"/>
        </a:xfrm>
        <a:prstGeom prst="ellipse">
          <a:avLst/>
        </a:prstGeom>
        <a:blipFill>
          <a:blip xmlns:r="http://schemas.openxmlformats.org/officeDocument/2006/relationships" r:embed="rId3"/>
          <a:srcRect/>
          <a:stretch>
            <a:fillRect l="-6000" r="-6000"/>
          </a:stretch>
        </a:blipFill>
        <a:ln w="12700" cap="flat" cmpd="sng" algn="ctr">
          <a:solidFill>
            <a:sysClr val="window" lastClr="FFFFFF">
              <a:hueOff val="0"/>
              <a:satOff val="0"/>
              <a:lumOff val="0"/>
              <a:alphaOff val="0"/>
            </a:sysClr>
          </a:solidFill>
          <a:prstDash val="solid"/>
          <a:miter lim="800000"/>
        </a:ln>
        <a:effectLst/>
      </dgm:spPr>
    </dgm:pt>
    <dgm:pt modelId="{A64CC5CD-25D2-420B-AA23-EE20E50BC437}" type="pres">
      <dgm:prSet presAssocID="{67851F02-D306-41F7-9C75-B2EB4ED293B6}" presName="Child3" presStyleLbl="revTx" presStyleIdx="2" presStyleCnt="4">
        <dgm:presLayoutVars>
          <dgm:chMax val="0"/>
          <dgm:chPref val="0"/>
          <dgm:bulletEnabled val="1"/>
        </dgm:presLayoutVars>
      </dgm:prSet>
      <dgm:spPr/>
    </dgm:pt>
    <dgm:pt modelId="{80977118-B82F-48CC-846A-90432CAD85FE}" type="pres">
      <dgm:prSet presAssocID="{48B92EBC-6CC2-4A2B-95E2-831E01D71D08}" presName="Image4" presStyleCnt="0"/>
      <dgm:spPr/>
    </dgm:pt>
    <dgm:pt modelId="{1A2EBD45-0080-40D5-903D-9E267555D207}" type="pres">
      <dgm:prSet presAssocID="{48B92EBC-6CC2-4A2B-95E2-831E01D71D08}" presName="Image" presStyleLbl="fgImgPlace1" presStyleIdx="3" presStyleCnt="4"/>
      <dgm:spPr>
        <a:xfrm>
          <a:off x="2434713" y="2449906"/>
          <a:ext cx="750650" cy="750493"/>
        </a:xfrm>
        <a:prstGeom prst="ellipse">
          <a:avLst/>
        </a:prstGeom>
        <a:blipFill>
          <a:blip xmlns:r="http://schemas.openxmlformats.org/officeDocument/2006/relationships" r:embed="rId4"/>
          <a:srcRect/>
          <a:stretch>
            <a:fillRect l="-12000" r="-12000"/>
          </a:stretch>
        </a:blipFill>
        <a:ln w="12700" cap="flat" cmpd="sng" algn="ctr">
          <a:solidFill>
            <a:sysClr val="window" lastClr="FFFFFF">
              <a:hueOff val="0"/>
              <a:satOff val="0"/>
              <a:lumOff val="0"/>
              <a:alphaOff val="0"/>
            </a:sysClr>
          </a:solidFill>
          <a:prstDash val="solid"/>
          <a:miter lim="800000"/>
        </a:ln>
        <a:effectLst/>
      </dgm:spPr>
    </dgm:pt>
    <dgm:pt modelId="{63E45171-0280-4B40-9C58-46A8F4B3C888}" type="pres">
      <dgm:prSet presAssocID="{48B92EBC-6CC2-4A2B-95E2-831E01D71D08}" presName="Child4" presStyleLbl="revTx" presStyleIdx="3" presStyleCnt="4">
        <dgm:presLayoutVars>
          <dgm:chMax val="0"/>
          <dgm:chPref val="0"/>
          <dgm:bulletEnabled val="1"/>
        </dgm:presLayoutVars>
      </dgm:prSet>
      <dgm:spPr/>
    </dgm:pt>
  </dgm:ptLst>
  <dgm:cxnLst>
    <dgm:cxn modelId="{2849EA05-295F-414F-82B4-C820ABE481E8}" type="presOf" srcId="{BB5395C4-C720-4053-B06A-517733AA0A9C}" destId="{1447C5FD-AC34-427E-8ACF-60F790371BE5}" srcOrd="0" destOrd="0" presId="urn:microsoft.com/office/officeart/2011/layout/RadialPictureList"/>
    <dgm:cxn modelId="{B375B01F-A9B2-4B9E-9634-805CDC264692}" type="presOf" srcId="{863919C1-6525-4562-AB66-F7172A62E97F}" destId="{2448FC52-F290-49CA-960F-71AAB99E9828}" srcOrd="0" destOrd="0" presId="urn:microsoft.com/office/officeart/2011/layout/RadialPictureList"/>
    <dgm:cxn modelId="{9877EB2A-3F71-438F-9FAA-07D5E6ED425C}" srcId="{B9A072F7-1AC1-4155-B600-022B911149BB}" destId="{48B92EBC-6CC2-4A2B-95E2-831E01D71D08}" srcOrd="3" destOrd="0" parTransId="{D2CA54E3-39E2-4BD5-9F13-321579FCEB08}" sibTransId="{EFF7FBBB-F964-422C-A44F-86DDD7A12DF5}"/>
    <dgm:cxn modelId="{3664592F-2374-406D-8CE3-4778991CF965}" type="presOf" srcId="{67851F02-D306-41F7-9C75-B2EB4ED293B6}" destId="{A64CC5CD-25D2-420B-AA23-EE20E50BC437}" srcOrd="0" destOrd="0" presId="urn:microsoft.com/office/officeart/2011/layout/RadialPictureList"/>
    <dgm:cxn modelId="{82FB675B-79F2-4E08-9711-422DF59FC934}" type="presOf" srcId="{B041D7BE-5165-4287-8C02-DCCB11AD619F}" destId="{16FFF318-37A7-4C4F-B191-209AA381F128}" srcOrd="0" destOrd="0" presId="urn:microsoft.com/office/officeart/2011/layout/RadialPictureList"/>
    <dgm:cxn modelId="{F1FF0D6D-DF49-4177-8BE5-05D12B62F2CD}" srcId="{B9A072F7-1AC1-4155-B600-022B911149BB}" destId="{BB5395C4-C720-4053-B06A-517733AA0A9C}" srcOrd="1" destOrd="0" parTransId="{C678B7AA-8AAF-4340-AEB9-41BA1276AA7A}" sibTransId="{5520EA8F-C756-4CF3-9D61-036D25AF55C6}"/>
    <dgm:cxn modelId="{CC0C564D-22D5-4984-B455-4C48A7C0BF29}" srcId="{B9A072F7-1AC1-4155-B600-022B911149BB}" destId="{67851F02-D306-41F7-9C75-B2EB4ED293B6}" srcOrd="2" destOrd="0" parTransId="{1BF189F4-9833-4C01-846E-63E0CC309A2D}" sibTransId="{3E787B69-0C72-4894-B9B3-BD16F72F0CDE}"/>
    <dgm:cxn modelId="{27A17A51-4837-42F5-9518-04A3B485E947}" srcId="{B041D7BE-5165-4287-8C02-DCCB11AD619F}" destId="{B9A072F7-1AC1-4155-B600-022B911149BB}" srcOrd="0" destOrd="0" parTransId="{27F5284E-41FD-467B-9378-2C21B5602661}" sibTransId="{24E252B7-C689-449C-954A-6B141FDA5C40}"/>
    <dgm:cxn modelId="{14AD177D-B3AF-4D7D-99BD-61A53A063C7F}" type="presOf" srcId="{48B92EBC-6CC2-4A2B-95E2-831E01D71D08}" destId="{63E45171-0280-4B40-9C58-46A8F4B3C888}" srcOrd="0" destOrd="0" presId="urn:microsoft.com/office/officeart/2011/layout/RadialPictureList"/>
    <dgm:cxn modelId="{1CDC7B93-F8E8-43E7-B9E4-943F6C10DA63}" type="presOf" srcId="{B9A072F7-1AC1-4155-B600-022B911149BB}" destId="{7BE04982-271B-481C-9B8B-A35A591E26ED}" srcOrd="0" destOrd="0" presId="urn:microsoft.com/office/officeart/2011/layout/RadialPictureList"/>
    <dgm:cxn modelId="{C11EBBEA-6EEB-4780-BA4D-E760B362056F}" srcId="{B9A072F7-1AC1-4155-B600-022B911149BB}" destId="{863919C1-6525-4562-AB66-F7172A62E97F}" srcOrd="0" destOrd="0" parTransId="{DC9E56AA-DA42-4549-8886-9C757F1404E9}" sibTransId="{21AD49D9-C352-4160-BBD9-77538865DC56}"/>
    <dgm:cxn modelId="{FEEBA232-B3F5-4D76-91C6-665D4E1476BE}" type="presParOf" srcId="{16FFF318-37A7-4C4F-B191-209AA381F128}" destId="{7BE04982-271B-481C-9B8B-A35A591E26ED}" srcOrd="0" destOrd="0" presId="urn:microsoft.com/office/officeart/2011/layout/RadialPictureList"/>
    <dgm:cxn modelId="{2DEFE86B-2CFC-44BD-B94B-BFB0CCAE5DFA}" type="presParOf" srcId="{16FFF318-37A7-4C4F-B191-209AA381F128}" destId="{A28BC8A4-8747-49AE-9E5D-F9D2A38D17F5}" srcOrd="1" destOrd="0" presId="urn:microsoft.com/office/officeart/2011/layout/RadialPictureList"/>
    <dgm:cxn modelId="{8FD6A63B-266D-442D-8EF5-5CCF1ACF0AC5}" type="presParOf" srcId="{16FFF318-37A7-4C4F-B191-209AA381F128}" destId="{F0F07874-FC06-4390-AB94-4CA30042CA22}" srcOrd="2" destOrd="0" presId="urn:microsoft.com/office/officeart/2011/layout/RadialPictureList"/>
    <dgm:cxn modelId="{F1E207FD-9E40-4AE9-9B4A-007A96A5C610}" type="presParOf" srcId="{16FFF318-37A7-4C4F-B191-209AA381F128}" destId="{2448FC52-F290-49CA-960F-71AAB99E9828}" srcOrd="3" destOrd="0" presId="urn:microsoft.com/office/officeart/2011/layout/RadialPictureList"/>
    <dgm:cxn modelId="{0D69ADEE-4F31-4CB6-8402-34B0C7ED7287}" type="presParOf" srcId="{16FFF318-37A7-4C4F-B191-209AA381F128}" destId="{DA48BFD8-4532-4885-A87F-0B95AD517D78}" srcOrd="4" destOrd="0" presId="urn:microsoft.com/office/officeart/2011/layout/RadialPictureList"/>
    <dgm:cxn modelId="{D8E96B34-212D-48CD-BABE-E9778A39BD2A}" type="presParOf" srcId="{DA48BFD8-4532-4885-A87F-0B95AD517D78}" destId="{D4B9E344-22CF-4EC8-BF87-D3556549A2EF}" srcOrd="0" destOrd="0" presId="urn:microsoft.com/office/officeart/2011/layout/RadialPictureList"/>
    <dgm:cxn modelId="{F3D49EA4-A90F-422B-9965-B454AB2CEF72}" type="presParOf" srcId="{16FFF318-37A7-4C4F-B191-209AA381F128}" destId="{1447C5FD-AC34-427E-8ACF-60F790371BE5}" srcOrd="5" destOrd="0" presId="urn:microsoft.com/office/officeart/2011/layout/RadialPictureList"/>
    <dgm:cxn modelId="{C8547B2A-7BC3-40BE-8813-80EECB673444}" type="presParOf" srcId="{16FFF318-37A7-4C4F-B191-209AA381F128}" destId="{760B1420-5409-4829-87CE-C9799AAE8C28}" srcOrd="6" destOrd="0" presId="urn:microsoft.com/office/officeart/2011/layout/RadialPictureList"/>
    <dgm:cxn modelId="{2EFFB50D-D538-4D03-89E6-0E05E3FFD235}" type="presParOf" srcId="{760B1420-5409-4829-87CE-C9799AAE8C28}" destId="{75FFEEAA-F244-4130-AA29-9C78E8F7C524}" srcOrd="0" destOrd="0" presId="urn:microsoft.com/office/officeart/2011/layout/RadialPictureList"/>
    <dgm:cxn modelId="{F7CBF872-4327-4345-BFD4-0271D021A753}" type="presParOf" srcId="{16FFF318-37A7-4C4F-B191-209AA381F128}" destId="{A64CC5CD-25D2-420B-AA23-EE20E50BC437}" srcOrd="7" destOrd="0" presId="urn:microsoft.com/office/officeart/2011/layout/RadialPictureList"/>
    <dgm:cxn modelId="{4E01D723-A7A9-40A0-B534-AB681E6A831C}" type="presParOf" srcId="{16FFF318-37A7-4C4F-B191-209AA381F128}" destId="{80977118-B82F-48CC-846A-90432CAD85FE}" srcOrd="8" destOrd="0" presId="urn:microsoft.com/office/officeart/2011/layout/RadialPictureList"/>
    <dgm:cxn modelId="{A1540FE7-8C61-4DC9-8CF6-95BCC6B60256}" type="presParOf" srcId="{80977118-B82F-48CC-846A-90432CAD85FE}" destId="{1A2EBD45-0080-40D5-903D-9E267555D207}" srcOrd="0" destOrd="0" presId="urn:microsoft.com/office/officeart/2011/layout/RadialPictureList"/>
    <dgm:cxn modelId="{3EF41003-49AC-47F8-A1BE-B8B318B65181}" type="presParOf" srcId="{16FFF318-37A7-4C4F-B191-209AA381F128}" destId="{63E45171-0280-4B40-9C58-46A8F4B3C888}" srcOrd="9" destOrd="0" presId="urn:microsoft.com/office/officeart/2011/layout/RadialPictureLis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E04982-271B-481C-9B8B-A35A591E26ED}">
      <dsp:nvSpPr>
        <dsp:cNvPr id="0" name=""/>
        <dsp:cNvSpPr/>
      </dsp:nvSpPr>
      <dsp:spPr>
        <a:xfrm>
          <a:off x="1408892" y="894511"/>
          <a:ext cx="1400940" cy="1400815"/>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ar-SA" sz="1600" kern="1200">
              <a:solidFill>
                <a:sysClr val="window" lastClr="FFFFFF"/>
              </a:solidFill>
              <a:latin typeface="Calibri" panose="020F0502020204030204"/>
              <a:ea typeface="+mn-ea"/>
              <a:cs typeface="Arial" panose="020B0604020202020204" pitchFamily="34" charset="0"/>
            </a:rPr>
            <a:t>زيادة الكفاءة والدقة في قياس المخاطر المبكرة</a:t>
          </a:r>
          <a:endParaRPr lang="en-US" sz="1600" kern="1200">
            <a:solidFill>
              <a:sysClr val="window" lastClr="FFFFFF"/>
            </a:solidFill>
            <a:latin typeface="Calibri" panose="020F0502020204030204"/>
            <a:ea typeface="+mn-ea"/>
            <a:cs typeface="+mn-cs"/>
          </a:endParaRPr>
        </a:p>
      </dsp:txBody>
      <dsp:txXfrm>
        <a:off x="1614055" y="1099656"/>
        <a:ext cx="990614" cy="990525"/>
      </dsp:txXfrm>
    </dsp:sp>
    <dsp:sp modelId="{A28BC8A4-8747-49AE-9E5D-F9D2A38D17F5}">
      <dsp:nvSpPr>
        <dsp:cNvPr id="0" name=""/>
        <dsp:cNvSpPr/>
      </dsp:nvSpPr>
      <dsp:spPr>
        <a:xfrm>
          <a:off x="686622" y="115534"/>
          <a:ext cx="2823680" cy="2943407"/>
        </a:xfrm>
        <a:prstGeom prst="blockArc">
          <a:avLst>
            <a:gd name="adj1" fmla="val 16509444"/>
            <a:gd name="adj2" fmla="val 5088054"/>
            <a:gd name="adj3" fmla="val 524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0F07874-FC06-4390-AB94-4CA30042CA22}">
      <dsp:nvSpPr>
        <dsp:cNvPr id="0" name=""/>
        <dsp:cNvSpPr/>
      </dsp:nvSpPr>
      <dsp:spPr>
        <a:xfrm>
          <a:off x="2434713" y="0"/>
          <a:ext cx="750650" cy="750493"/>
        </a:xfrm>
        <a:prstGeom prst="ellipse">
          <a:avLst/>
        </a:prstGeom>
        <a:blipFill>
          <a:blip xmlns:r="http://schemas.openxmlformats.org/officeDocument/2006/relationships" r:embed="rId1"/>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2448FC52-F290-49CA-960F-71AAB99E9828}">
      <dsp:nvSpPr>
        <dsp:cNvPr id="0" name=""/>
        <dsp:cNvSpPr/>
      </dsp:nvSpPr>
      <dsp:spPr>
        <a:xfrm>
          <a:off x="3242536" y="9601"/>
          <a:ext cx="1004843" cy="7264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320" tIns="20320" rIns="20320" bIns="20320" numCol="1" spcCol="1270" anchor="ctr" anchorCtr="0">
          <a:noAutofit/>
        </a:bodyPr>
        <a:lstStyle/>
        <a:p>
          <a:pPr marL="0" lvl="0" indent="0" algn="l" defTabSz="711200">
            <a:lnSpc>
              <a:spcPct val="90000"/>
            </a:lnSpc>
            <a:spcBef>
              <a:spcPct val="0"/>
            </a:spcBef>
            <a:spcAft>
              <a:spcPct val="10000"/>
            </a:spcAft>
            <a:buNone/>
          </a:pPr>
          <a:r>
            <a:rPr lang="ar-SA" sz="1600" kern="1200">
              <a:solidFill>
                <a:sysClr val="windowText" lastClr="000000">
                  <a:hueOff val="0"/>
                  <a:satOff val="0"/>
                  <a:lumOff val="0"/>
                  <a:alphaOff val="0"/>
                </a:sysClr>
              </a:solidFill>
              <a:latin typeface="Calibri" panose="020F0502020204030204"/>
              <a:ea typeface="+mn-ea"/>
              <a:cs typeface="Arial" panose="020B0604020202020204" pitchFamily="34" charset="0"/>
            </a:rPr>
            <a:t>نماذج التقييم الائتماني </a:t>
          </a:r>
          <a:endParaRPr lang="en-US" sz="1600" kern="1200">
            <a:solidFill>
              <a:sysClr val="windowText" lastClr="000000">
                <a:hueOff val="0"/>
                <a:satOff val="0"/>
                <a:lumOff val="0"/>
                <a:alphaOff val="0"/>
              </a:sysClr>
            </a:solidFill>
            <a:latin typeface="Calibri" panose="020F0502020204030204"/>
            <a:ea typeface="+mn-ea"/>
            <a:cs typeface="+mn-cs"/>
          </a:endParaRPr>
        </a:p>
      </dsp:txBody>
      <dsp:txXfrm>
        <a:off x="3242536" y="9601"/>
        <a:ext cx="1004843" cy="726490"/>
      </dsp:txXfrm>
    </dsp:sp>
    <dsp:sp modelId="{D4B9E344-22CF-4EC8-BF87-D3556549A2EF}">
      <dsp:nvSpPr>
        <dsp:cNvPr id="0" name=""/>
        <dsp:cNvSpPr/>
      </dsp:nvSpPr>
      <dsp:spPr>
        <a:xfrm>
          <a:off x="2989166" y="698967"/>
          <a:ext cx="750650" cy="750493"/>
        </a:xfrm>
        <a:prstGeom prst="ellipse">
          <a:avLst/>
        </a:prstGeom>
        <a:blipFill>
          <a:blip xmlns:r="http://schemas.openxmlformats.org/officeDocument/2006/relationships" r:embed="rId2"/>
          <a:srcRect/>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1447C5FD-AC34-427E-8ACF-60F790371BE5}">
      <dsp:nvSpPr>
        <dsp:cNvPr id="0" name=""/>
        <dsp:cNvSpPr/>
      </dsp:nvSpPr>
      <dsp:spPr>
        <a:xfrm>
          <a:off x="3794933" y="712089"/>
          <a:ext cx="1004843" cy="7264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320" tIns="20320" rIns="20320" bIns="20320" numCol="1" spcCol="1270" anchor="ctr" anchorCtr="0">
          <a:noAutofit/>
        </a:bodyPr>
        <a:lstStyle/>
        <a:p>
          <a:pPr marL="0" lvl="0" indent="0" algn="l" defTabSz="711200">
            <a:lnSpc>
              <a:spcPct val="90000"/>
            </a:lnSpc>
            <a:spcBef>
              <a:spcPct val="0"/>
            </a:spcBef>
            <a:spcAft>
              <a:spcPct val="10000"/>
            </a:spcAft>
            <a:buNone/>
          </a:pPr>
          <a:r>
            <a:rPr lang="ar-SA" sz="1600" kern="1200">
              <a:solidFill>
                <a:sysClr val="windowText" lastClr="000000">
                  <a:hueOff val="0"/>
                  <a:satOff val="0"/>
                  <a:lumOff val="0"/>
                  <a:alphaOff val="0"/>
                </a:sysClr>
              </a:solidFill>
              <a:latin typeface="Calibri" panose="020F0502020204030204"/>
              <a:ea typeface="+mn-ea"/>
              <a:cs typeface="Arial" panose="020B0604020202020204" pitchFamily="34" charset="0"/>
            </a:rPr>
            <a:t>تحليل البيانات الفوري</a:t>
          </a:r>
          <a:r>
            <a:rPr lang="en-US" sz="1600" kern="1200">
              <a:solidFill>
                <a:sysClr val="windowText" lastClr="000000">
                  <a:hueOff val="0"/>
                  <a:satOff val="0"/>
                  <a:lumOff val="0"/>
                  <a:alphaOff val="0"/>
                </a:sysClr>
              </a:solidFill>
              <a:latin typeface="Calibri" panose="020F0502020204030204"/>
              <a:ea typeface="+mn-ea"/>
              <a:cs typeface="+mn-cs"/>
            </a:rPr>
            <a:t>: </a:t>
          </a:r>
        </a:p>
      </dsp:txBody>
      <dsp:txXfrm>
        <a:off x="3794933" y="712089"/>
        <a:ext cx="1004843" cy="726490"/>
      </dsp:txXfrm>
    </dsp:sp>
    <dsp:sp modelId="{75FFEEAA-F244-4130-AA29-9C78E8F7C524}">
      <dsp:nvSpPr>
        <dsp:cNvPr id="0" name=""/>
        <dsp:cNvSpPr/>
      </dsp:nvSpPr>
      <dsp:spPr>
        <a:xfrm>
          <a:off x="2986287" y="1726615"/>
          <a:ext cx="750650" cy="750493"/>
        </a:xfrm>
        <a:prstGeom prst="ellipse">
          <a:avLst/>
        </a:prstGeom>
        <a:blipFill>
          <a:blip xmlns:r="http://schemas.openxmlformats.org/officeDocument/2006/relationships" r:embed="rId3"/>
          <a:srcRect/>
          <a:stretch>
            <a:fillRect l="-6000" r="-6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A64CC5CD-25D2-420B-AA23-EE20E50BC437}">
      <dsp:nvSpPr>
        <dsp:cNvPr id="0" name=""/>
        <dsp:cNvSpPr/>
      </dsp:nvSpPr>
      <dsp:spPr>
        <a:xfrm>
          <a:off x="3794933" y="1738777"/>
          <a:ext cx="1004843" cy="7264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320" tIns="20320" rIns="20320" bIns="20320" numCol="1" spcCol="1270" anchor="ctr" anchorCtr="0">
          <a:noAutofit/>
        </a:bodyPr>
        <a:lstStyle/>
        <a:p>
          <a:pPr marL="0" lvl="0" indent="0" algn="l" defTabSz="711200">
            <a:lnSpc>
              <a:spcPct val="90000"/>
            </a:lnSpc>
            <a:spcBef>
              <a:spcPct val="0"/>
            </a:spcBef>
            <a:spcAft>
              <a:spcPct val="10000"/>
            </a:spcAft>
            <a:buNone/>
          </a:pPr>
          <a:r>
            <a:rPr lang="ar-SA" sz="1600" kern="1200">
              <a:solidFill>
                <a:sysClr val="windowText" lastClr="000000">
                  <a:hueOff val="0"/>
                  <a:satOff val="0"/>
                  <a:lumOff val="0"/>
                  <a:alphaOff val="0"/>
                </a:sysClr>
              </a:solidFill>
              <a:latin typeface="Calibri" panose="020F0502020204030204"/>
              <a:ea typeface="+mn-ea"/>
              <a:cs typeface="Arial" panose="020B0604020202020204" pitchFamily="34" charset="0"/>
            </a:rPr>
            <a:t>الشفافية والمساءلة</a:t>
          </a:r>
          <a:endParaRPr lang="en-US" sz="1600" kern="1200">
            <a:solidFill>
              <a:sysClr val="windowText" lastClr="000000">
                <a:hueOff val="0"/>
                <a:satOff val="0"/>
                <a:lumOff val="0"/>
                <a:alphaOff val="0"/>
              </a:sysClr>
            </a:solidFill>
            <a:latin typeface="Calibri" panose="020F0502020204030204"/>
            <a:ea typeface="+mn-ea"/>
            <a:cs typeface="+mn-cs"/>
          </a:endParaRPr>
        </a:p>
      </dsp:txBody>
      <dsp:txXfrm>
        <a:off x="3794933" y="1738777"/>
        <a:ext cx="1004843" cy="726490"/>
      </dsp:txXfrm>
    </dsp:sp>
    <dsp:sp modelId="{1A2EBD45-0080-40D5-903D-9E267555D207}">
      <dsp:nvSpPr>
        <dsp:cNvPr id="0" name=""/>
        <dsp:cNvSpPr/>
      </dsp:nvSpPr>
      <dsp:spPr>
        <a:xfrm>
          <a:off x="2434713" y="2449906"/>
          <a:ext cx="750650" cy="750493"/>
        </a:xfrm>
        <a:prstGeom prst="ellipse">
          <a:avLst/>
        </a:prstGeom>
        <a:blipFill>
          <a:blip xmlns:r="http://schemas.openxmlformats.org/officeDocument/2006/relationships" r:embed="rId4"/>
          <a:srcRect/>
          <a:stretch>
            <a:fillRect l="-12000" r="-12000"/>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63E45171-0280-4B40-9C58-46A8F4B3C888}">
      <dsp:nvSpPr>
        <dsp:cNvPr id="0" name=""/>
        <dsp:cNvSpPr/>
      </dsp:nvSpPr>
      <dsp:spPr>
        <a:xfrm>
          <a:off x="3242536" y="2465268"/>
          <a:ext cx="1004843" cy="7264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320" tIns="20320" rIns="20320" bIns="20320" numCol="1" spcCol="1270" anchor="ctr" anchorCtr="0">
          <a:noAutofit/>
        </a:bodyPr>
        <a:lstStyle/>
        <a:p>
          <a:pPr marL="0" lvl="0" indent="0" algn="l" defTabSz="711200">
            <a:lnSpc>
              <a:spcPct val="90000"/>
            </a:lnSpc>
            <a:spcBef>
              <a:spcPct val="0"/>
            </a:spcBef>
            <a:spcAft>
              <a:spcPct val="10000"/>
            </a:spcAft>
            <a:buNone/>
          </a:pPr>
          <a:r>
            <a:rPr lang="ar-SA" sz="1600" kern="1200">
              <a:solidFill>
                <a:sysClr val="windowText" lastClr="000000">
                  <a:hueOff val="0"/>
                  <a:satOff val="0"/>
                  <a:lumOff val="0"/>
                  <a:alphaOff val="0"/>
                </a:sysClr>
              </a:solidFill>
              <a:latin typeface="Calibri" panose="020F0502020204030204"/>
              <a:ea typeface="+mn-ea"/>
              <a:cs typeface="Arial" panose="020B0604020202020204" pitchFamily="34" charset="0"/>
            </a:rPr>
            <a:t>التوثيق</a:t>
          </a:r>
          <a:endParaRPr lang="en-US" sz="1600" kern="1200">
            <a:solidFill>
              <a:sysClr val="windowText" lastClr="000000">
                <a:hueOff val="0"/>
                <a:satOff val="0"/>
                <a:lumOff val="0"/>
                <a:alphaOff val="0"/>
              </a:sysClr>
            </a:solidFill>
            <a:latin typeface="Calibri" panose="020F0502020204030204"/>
            <a:ea typeface="+mn-ea"/>
            <a:cs typeface="+mn-cs"/>
          </a:endParaRPr>
        </a:p>
      </dsp:txBody>
      <dsp:txXfrm>
        <a:off x="3242536" y="2465268"/>
        <a:ext cx="1004843" cy="726490"/>
      </dsp:txXfrm>
    </dsp:sp>
  </dsp:spTree>
</dsp:drawing>
</file>

<file path=word/diagrams/layout1.xml><?xml version="1.0" encoding="utf-8"?>
<dgm:layoutDef xmlns:dgm="http://schemas.openxmlformats.org/drawingml/2006/diagram" xmlns:a="http://schemas.openxmlformats.org/drawingml/2006/main" uniqueId="urn:microsoft.com/office/officeart/2011/layout/RadialPictureList">
  <dgm:title val="Radial Picture List"/>
  <dgm:desc val="Use to show relationships to a central idea. The Level 1 shape contains text and all Level 2 shapes contain a picture with corresponding text. Limited to four Level 2 pictures.  Unused pictures do not appear, but remain available if you switch layouts. Works best with a small amount of Level 2 text."/>
  <dgm:catLst>
    <dgm:cat type="picture" pri="2500"/>
    <dgm:cat type="officeonline" pri="2500"/>
  </dgm:catLst>
  <dgm:sampData>
    <dgm:dataModel>
      <dgm:ptLst>
        <dgm:pt modelId="0" type="doc"/>
        <dgm:pt modelId="10">
          <dgm:prSet phldr="1"/>
        </dgm:pt>
        <dgm:pt modelId="11">
          <dgm:prSet phldr="1"/>
        </dgm:pt>
        <dgm:pt modelId="12">
          <dgm:prSet phldr="1"/>
        </dgm:pt>
        <dgm:pt modelId="13">
          <dgm:prSet phldr="1"/>
        </dgm:pt>
      </dgm:ptLst>
      <dgm:cxnLst>
        <dgm:cxn modelId="1" srcId="0" destId="10" srcOrd="0" destOrd="0"/>
        <dgm:cxn modelId="2" srcId="10" destId="11" srcOrd="0" destOrd="0"/>
        <dgm:cxn modelId="3" srcId="10" destId="12" srcOrd="1" destOrd="0"/>
        <dgm:cxn modelId="4" srcId="10" destId="13" srcOrd="2" destOrd="0"/>
      </dgm:cxnLst>
      <dgm:bg/>
      <dgm:whole/>
    </dgm:dataModel>
  </dgm:sampData>
  <dgm:styleData>
    <dgm:dataModel>
      <dgm:ptLst>
        <dgm:pt modelId="0" type="doc"/>
        <dgm:pt modelId="10">
          <dgm:prSet phldr="1"/>
        </dgm:pt>
        <dgm:pt modelId="11">
          <dgm:prSet phldr="1"/>
        </dgm:pt>
        <dgm:pt modelId="12">
          <dgm:prSet phldr="1"/>
        </dgm:pt>
      </dgm:ptLst>
      <dgm:cxnLst>
        <dgm:cxn modelId="1" srcId="0" destId="10" srcOrd="0" destOrd="0"/>
        <dgm:cxn modelId="2" srcId="10" destId="11" srcOrd="0" destOrd="0"/>
        <dgm:cxn modelId="3" srcId="10" destId="12" srcOrd="1"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Lst>
      <dgm:cxnLst>
        <dgm:cxn modelId="1" srcId="0" destId="10" srcOrd="0" destOrd="0"/>
        <dgm:cxn modelId="2" srcId="10" destId="11" srcOrd="0" destOrd="0"/>
        <dgm:cxn modelId="3" srcId="10" destId="12" srcOrd="1" destOrd="0"/>
        <dgm:cxn modelId="4" srcId="10" destId="13" srcOrd="2" destOrd="0"/>
        <dgm:cxn modelId="5" srcId="10" destId="14" srcOrd="3" destOrd="0"/>
      </dgm:cxnLst>
      <dgm:bg/>
      <dgm:whole/>
    </dgm:dataModel>
  </dgm:clrData>
  <dgm:layoutNode name="Name0">
    <dgm:varLst>
      <dgm:chMax val="1"/>
      <dgm:chPref val="1"/>
      <dgm:dir/>
      <dgm:resizeHandles/>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equ" val="1">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l" for="ch" forName="Accent" refType="w" fact="0"/>
              <dgm:constr type="t" for="ch" forName="Accent" refType="h" fact="0"/>
              <dgm:constr type="w" for="ch" forName="Accent" refType="w" fact="0.6747"/>
              <dgm:constr type="h" for="ch" forName="Accent" refType="h"/>
              <dgm:constr type="l" for="ch" forName="Child1" refType="w" fact="0.76"/>
              <dgm:constr type="t" for="ch" forName="Child1" refType="h" fact="0.3739"/>
              <dgm:constr type="w" for="ch" forName="Child1" refType="w" fact="0.24"/>
              <dgm:constr type="h" for="ch" forName="Child1" refType="h" fact="0.255"/>
              <dgm:constr type="l" for="ch" forName="Parent" refType="w" fact="0.1726"/>
              <dgm:constr type="t" for="ch" forName="Parent" refType="h" fact="0.2646"/>
              <dgm:constr type="w" for="ch" forName="Parent" refType="w" fact="0.3347"/>
              <dgm:constr type="h" for="ch" forName="Parent" refType="h" fact="0.4759"/>
              <dgm:constr type="l" for="ch" forName="Image1" refType="w" fact="0.5661"/>
              <dgm:constr type="t" for="ch" forName="Image1" refType="h" fact="0.3744"/>
              <dgm:constr type="w" for="ch" forName="Image1" refType="w" fact="0.1793"/>
              <dgm:constr type="h" for="ch" forName="Image1" refType="h" fact="0.255"/>
            </dgm:constrLst>
          </dgm:if>
          <dgm:if name="Name6" axis="ch ch" ptType="node node" st="1 1" cnt="1 0" func="cnt" op="equ" val="2">
            <dgm:alg type="composite">
              <dgm:param type="ar" val="1.381"/>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 refType="w" fact="0"/>
              <dgm:constr type="t" for="ch" forName="Accent" refType="h" fact="0"/>
              <dgm:constr type="w" for="ch" forName="Accent" refType="w" fact="0.6946"/>
              <dgm:constr type="h" for="ch" forName="Accent" refType="h"/>
              <dgm:constr type="l" for="ch" forName="Parent" refType="w" fact="0.1777"/>
              <dgm:constr type="t" for="ch" forName="Parent" refType="h" fact="0.2646"/>
              <dgm:constr type="w" for="ch" forName="Parent" refType="w" fact="0.3446"/>
              <dgm:constr type="h" for="ch" forName="Parent" refType="h" fact="0.4759"/>
              <dgm:constr type="l" for="ch" forName="Image1" refType="w" fact="0.5531"/>
              <dgm:constr type="t" for="ch" forName="Image1" refType="h" fact="0.1585"/>
              <dgm:constr type="w" for="ch" forName="Image1" refType="w" fact="0.1846"/>
              <dgm:constr type="h" for="ch" forName="Image1" refType="h" fact="0.255"/>
              <dgm:constr type="l" for="ch" forName="Image2" refType="w" fact="0.5531"/>
              <dgm:constr type="t" for="ch" forName="Image2" refType="h" fact="0.5624"/>
              <dgm:constr type="w" for="ch" forName="Image2" refType="w" fact="0.1846"/>
              <dgm:constr type="h" for="ch" forName="Image2" refType="h" fact="0.255"/>
              <dgm:constr type="l" for="ch" forName="Child1" refType="w" fact="0.7529"/>
              <dgm:constr type="t" for="ch" forName="Child1" refType="h" fact="0.1618"/>
              <dgm:constr type="w" for="ch" forName="Child1" refType="w" fact="0.2471"/>
              <dgm:constr type="h" for="ch" forName="Child1" refType="h" fact="0.2468"/>
              <dgm:constr type="l" for="ch" forName="Child2" refType="w" fact="0.7529"/>
              <dgm:constr type="t" for="ch" forName="Child2" refType="h" fact="0.5657"/>
              <dgm:constr type="w" for="ch" forName="Child2" refType="w" fact="0.2471"/>
              <dgm:constr type="h" for="ch" forName="Child2" refType="h" fact="0.2468"/>
            </dgm:constrLst>
          </dgm:if>
          <dgm:if name="Name7" axis="ch ch" ptType="node node" st="1 1" cnt="1 0" func="cnt" op="equ" val="3">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 refType="w" fact="0"/>
              <dgm:constr type="t" for="ch" forName="Accent" refType="h" fact="0"/>
              <dgm:constr type="w" for="ch" forName="Accent" refType="w" fact="0.6747"/>
              <dgm:constr type="h" for="ch" forName="Accent" refType="h"/>
              <dgm:constr type="l" for="ch" forName="Parent" refType="w" fact="0.1726"/>
              <dgm:constr type="t" for="ch" forName="Parent" refType="h" fact="0.2646"/>
              <dgm:constr type="w" for="ch" forName="Parent" refType="w" fact="0.3347"/>
              <dgm:constr type="h" for="ch" forName="Parent" refType="h" fact="0.4759"/>
              <dgm:constr type="l" for="ch" forName="Image1" refType="w" fact="0.4968"/>
              <dgm:constr type="t" for="ch" forName="Image1" refType="h" fact="0.0843"/>
              <dgm:constr type="w" for="ch" forName="Image1" refType="w" fact="0.1793"/>
              <dgm:constr type="h" for="ch" forName="Image1" refType="h" fact="0.255"/>
              <dgm:constr type="l" for="ch" forName="Image2" refType="w" fact="0.5661"/>
              <dgm:constr type="t" for="ch" forName="Image2" refType="h" fact="0.3744"/>
              <dgm:constr type="w" for="ch" forName="Image2" refType="w" fact="0.1793"/>
              <dgm:constr type="h" for="ch" forName="Image2" refType="h" fact="0.255"/>
              <dgm:constr type="l" for="ch" forName="Image3" refType="w" fact="0.4968"/>
              <dgm:constr type="t" for="ch" forName="Image3" refType="h" fact="0.6686"/>
              <dgm:constr type="w" for="ch" forName="Image3" refType="w" fact="0.1793"/>
              <dgm:constr type="h" for="ch" forName="Image3" refType="h" fact="0.255"/>
              <dgm:constr type="l" for="ch" forName="Child1" refType="w" fact="0.6897"/>
              <dgm:constr type="t" for="ch" forName="Child1" refType="h" fact="0.0884"/>
              <dgm:constr type="w" for="ch" forName="Child1" refType="w" fact="0.24"/>
              <dgm:constr type="h" for="ch" forName="Child1" refType="h" fact="0.2468"/>
              <dgm:constr type="l" for="ch" forName="Child2" refType="w" fact="0.76"/>
              <dgm:constr type="t" for="ch" forName="Child2" refType="h" fact="0.378"/>
              <dgm:constr type="w" for="ch" forName="Child2" refType="w" fact="0.24"/>
              <dgm:constr type="h" for="ch" forName="Child2" refType="h" fact="0.2468"/>
              <dgm:constr type="l" for="ch" forName="Child3" refType="w" fact="0.6897"/>
              <dgm:constr type="t" for="ch" forName="Child3" refType="h" fact="0.6738"/>
              <dgm:constr type="w" for="ch" forName="Child3" refType="w" fact="0.24"/>
              <dgm:constr type="h" for="ch" forName="Child3" refType="h" fact="0.2468"/>
            </dgm:constrLst>
          </dgm:if>
          <dgm:else name="Name8">
            <dgm:alg type="composite">
              <dgm:param type="ar" val="1.2852"/>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 refType="w" fact="0"/>
              <dgm:constr type="t" for="ch" forName="Accent" refType="h" fact="0.0361"/>
              <dgm:constr type="w" for="ch" forName="Accent" refType="w" fact="0.6865"/>
              <dgm:constr type="h" for="ch" forName="Accent" refType="h" fact="0.9197"/>
              <dgm:constr type="l" for="ch" forName="Parent" refType="w" fact="0.1756"/>
              <dgm:constr type="t" for="ch" forName="Parent" refType="h" fact="0.2795"/>
              <dgm:constr type="w" for="ch" forName="Parent" refType="w" fact="0.3406"/>
              <dgm:constr type="h" for="ch" forName="Parent" refType="h" fact="0.4377"/>
              <dgm:constr type="l" for="ch" forName="Image1" refType="w" fact="0.425"/>
              <dgm:constr type="t" for="ch" forName="Image1" refType="h" fact="0"/>
              <dgm:constr type="w" for="ch" forName="Image1" refType="w" fact="0.1825"/>
              <dgm:constr type="h" for="ch" forName="Image1" refType="h" fact="0.2345"/>
              <dgm:constr type="l" for="ch" forName="Image2" refType="w" fact="0.5598"/>
              <dgm:constr type="t" for="ch" forName="Image2" refType="h" fact="0.2184"/>
              <dgm:constr type="w" for="ch" forName="Image2" refType="w" fact="0.1825"/>
              <dgm:constr type="h" for="ch" forName="Image2" refType="h" fact="0.2345"/>
              <dgm:constr type="l" for="ch" forName="Image3" refType="w" fact="0.5591"/>
              <dgm:constr type="t" for="ch" forName="Image3" refType="h" fact="0.5395"/>
              <dgm:constr type="w" for="ch" forName="Image3" refType="w" fact="0.1825"/>
              <dgm:constr type="h" for="ch" forName="Image3" refType="h" fact="0.2345"/>
              <dgm:constr type="l" for="ch" forName="Image4" refType="w" fact="0.425"/>
              <dgm:constr type="t" for="ch" forName="Image4" refType="h" fact="0.7655"/>
              <dgm:constr type="w" for="ch" forName="Image4" refType="w" fact="0.1825"/>
              <dgm:constr type="h" for="ch" forName="Image4" refType="h" fact="0.2345"/>
              <dgm:constr type="l" for="ch" forName="Child1" refType="w" fact="0.6214"/>
              <dgm:constr type="t" for="ch" forName="Child1" refType="h" fact="0.003"/>
              <dgm:constr type="w" for="ch" forName="Child1" refType="w" fact="0.2443"/>
              <dgm:constr type="h" for="ch" forName="Child1" refType="h" fact="0.227"/>
              <dgm:constr type="l" for="ch" forName="Child2" refType="w" fact="0.7557"/>
              <dgm:constr type="t" for="ch" forName="Child2" refType="h" fact="0.2225"/>
              <dgm:constr type="w" for="ch" forName="Child2" refType="w" fact="0.2443"/>
              <dgm:constr type="h" for="ch" forName="Child2" refType="h" fact="0.227"/>
              <dgm:constr type="l" for="ch" forName="Child3" refType="w" fact="0.7557"/>
              <dgm:constr type="t" for="ch" forName="Child3" refType="h" fact="0.5433"/>
              <dgm:constr type="w" for="ch" forName="Child3" refType="w" fact="0.2443"/>
              <dgm:constr type="h" for="ch" forName="Child3" refType="h" fact="0.227"/>
              <dgm:constr type="l" for="ch" forName="Child4" refType="w" fact="0.6214"/>
              <dgm:constr type="t" for="ch" forName="Child4" refType="h" fact="0.7703"/>
              <dgm:constr type="w" for="ch" forName="Child4" refType="w" fact="0.2443"/>
              <dgm:constr type="h" for="ch" forName="Child4" refType="h" fact="0.227"/>
            </dgm:constrLst>
          </dgm:else>
        </dgm:choose>
      </dgm:if>
      <dgm:else name="Name9">
        <dgm:choose name="Name10">
          <dgm:if name="Name11" axis="ch ch" ptType="node node" st="1 1" cnt="1 0" func="cnt" op="equ" val="0">
            <dgm:alg type="composite">
              <dgm:param type="ar" val="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2" axis="ch ch" ptType="node node" st="1 1" cnt="1 0" func="cnt" op="equ" val="1">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r" for="ch" forName="Accent" refType="w"/>
              <dgm:constr type="t" for="ch" forName="Accent" refType="h" fact="0"/>
              <dgm:constr type="w" for="ch" forName="Accent" refType="w" fact="0.6747"/>
              <dgm:constr type="h" for="ch" forName="Accent" refType="h"/>
              <dgm:constr type="r" for="ch" forName="Child1" refType="w" fact="0.24"/>
              <dgm:constr type="t" for="ch" forName="Child1" refType="h" fact="0.3739"/>
              <dgm:constr type="w" for="ch" forName="Child1" refType="w" fact="0.24"/>
              <dgm:constr type="h" for="ch" forName="Child1" refType="h" fact="0.255"/>
              <dgm:constr type="r" for="ch" forName="Parent" refType="w" fact="0.8274"/>
              <dgm:constr type="t" for="ch" forName="Parent" refType="h" fact="0.2646"/>
              <dgm:constr type="w" for="ch" forName="Parent" refType="w" fact="0.3347"/>
              <dgm:constr type="h" for="ch" forName="Parent" refType="h" fact="0.4759"/>
              <dgm:constr type="r" for="ch" forName="Image1" refType="w" fact="0.4339"/>
              <dgm:constr type="t" for="ch" forName="Image1" refType="h" fact="0.3744"/>
              <dgm:constr type="w" for="ch" forName="Image1" refType="w" fact="0.1793"/>
              <dgm:constr type="h" for="ch" forName="Image1" refType="h" fact="0.255"/>
            </dgm:constrLst>
          </dgm:if>
          <dgm:if name="Name13" axis="ch ch" ptType="node node" st="1 1" cnt="1 0" func="cnt" op="equ" val="2">
            <dgm:alg type="composite">
              <dgm:param type="ar" val="1.381"/>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 refType="w"/>
              <dgm:constr type="t" for="ch" forName="Accent" refType="h" fact="0"/>
              <dgm:constr type="w" for="ch" forName="Accent" refType="w" fact="0.6946"/>
              <dgm:constr type="h" for="ch" forName="Accent" refType="h"/>
              <dgm:constr type="r" for="ch" forName="Parent" refType="w" fact="0.8223"/>
              <dgm:constr type="t" for="ch" forName="Parent" refType="h" fact="0.2646"/>
              <dgm:constr type="w" for="ch" forName="Parent" refType="w" fact="0.3446"/>
              <dgm:constr type="h" for="ch" forName="Parent" refType="h" fact="0.4759"/>
              <dgm:constr type="r" for="ch" forName="Image1" refType="w" fact="0.4469"/>
              <dgm:constr type="t" for="ch" forName="Image1" refType="h" fact="0.1585"/>
              <dgm:constr type="w" for="ch" forName="Image1" refType="w" fact="0.1846"/>
              <dgm:constr type="h" for="ch" forName="Image1" refType="h" fact="0.255"/>
              <dgm:constr type="r" for="ch" forName="Image2" refType="w" fact="0.4469"/>
              <dgm:constr type="t" for="ch" forName="Image2" refType="h" fact="0.5624"/>
              <dgm:constr type="w" for="ch" forName="Image2" refType="w" fact="0.1846"/>
              <dgm:constr type="h" for="ch" forName="Image2" refType="h" fact="0.255"/>
              <dgm:constr type="r" for="ch" forName="Child1" refType="w" fact="0.2471"/>
              <dgm:constr type="t" for="ch" forName="Child1" refType="h" fact="0.1618"/>
              <dgm:constr type="w" for="ch" forName="Child1" refType="w" fact="0.2471"/>
              <dgm:constr type="h" for="ch" forName="Child1" refType="h" fact="0.2468"/>
              <dgm:constr type="r" for="ch" forName="Child2" refType="w" fact="0.2471"/>
              <dgm:constr type="t" for="ch" forName="Child2" refType="h" fact="0.5657"/>
              <dgm:constr type="w" for="ch" forName="Child2" refType="w" fact="0.2471"/>
              <dgm:constr type="h" for="ch" forName="Child2" refType="h" fact="0.2468"/>
            </dgm:constrLst>
          </dgm:if>
          <dgm:if name="Name14" axis="ch ch" ptType="node node" st="1 1" cnt="1 0" func="cnt" op="equ" val="3">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 refType="w"/>
              <dgm:constr type="t" for="ch" forName="Accent" refType="h" fact="0"/>
              <dgm:constr type="w" for="ch" forName="Accent" refType="w" fact="0.6747"/>
              <dgm:constr type="h" for="ch" forName="Accent" refType="h"/>
              <dgm:constr type="r" for="ch" forName="Parent" refType="w" fact="0.8274"/>
              <dgm:constr type="t" for="ch" forName="Parent" refType="h" fact="0.2646"/>
              <dgm:constr type="w" for="ch" forName="Parent" refType="w" fact="0.3347"/>
              <dgm:constr type="h" for="ch" forName="Parent" refType="h" fact="0.4759"/>
              <dgm:constr type="r" for="ch" forName="Image1" refType="w" fact="0.5032"/>
              <dgm:constr type="t" for="ch" forName="Image1" refType="h" fact="0.0843"/>
              <dgm:constr type="w" for="ch" forName="Image1" refType="w" fact="0.1793"/>
              <dgm:constr type="h" for="ch" forName="Image1" refType="h" fact="0.255"/>
              <dgm:constr type="r" for="ch" forName="Image2" refType="w" fact="0.4339"/>
              <dgm:constr type="t" for="ch" forName="Image2" refType="h" fact="0.3744"/>
              <dgm:constr type="w" for="ch" forName="Image2" refType="w" fact="0.1793"/>
              <dgm:constr type="h" for="ch" forName="Image2" refType="h" fact="0.255"/>
              <dgm:constr type="r" for="ch" forName="Image3" refType="w" fact="0.5032"/>
              <dgm:constr type="t" for="ch" forName="Image3" refType="h" fact="0.6686"/>
              <dgm:constr type="w" for="ch" forName="Image3" refType="w" fact="0.1793"/>
              <dgm:constr type="h" for="ch" forName="Image3" refType="h" fact="0.255"/>
              <dgm:constr type="r" for="ch" forName="Child1" refType="w" fact="0.3103"/>
              <dgm:constr type="t" for="ch" forName="Child1" refType="h" fact="0.0884"/>
              <dgm:constr type="w" for="ch" forName="Child1" refType="w" fact="0.24"/>
              <dgm:constr type="h" for="ch" forName="Child1" refType="h" fact="0.2468"/>
              <dgm:constr type="r" for="ch" forName="Child2" refType="w" fact="0.24"/>
              <dgm:constr type="t" for="ch" forName="Child2" refType="h" fact="0.378"/>
              <dgm:constr type="w" for="ch" forName="Child2" refType="w" fact="0.24"/>
              <dgm:constr type="h" for="ch" forName="Child2" refType="h" fact="0.2468"/>
              <dgm:constr type="r" for="ch" forName="Child3" refType="w" fact="0.3103"/>
              <dgm:constr type="t" for="ch" forName="Child3" refType="h" fact="0.6738"/>
              <dgm:constr type="w" for="ch" forName="Child3" refType="w" fact="0.24"/>
              <dgm:constr type="h" for="ch" forName="Child3" refType="h" fact="0.2468"/>
            </dgm:constrLst>
          </dgm:if>
          <dgm:else name="Name15">
            <dgm:alg type="composite">
              <dgm:param type="ar" val="1.2852"/>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 refType="w"/>
              <dgm:constr type="t" for="ch" forName="Accent" refType="h" fact="0.0361"/>
              <dgm:constr type="w" for="ch" forName="Accent" refType="w" fact="0.6865"/>
              <dgm:constr type="h" for="ch" forName="Accent" refType="h" fact="0.9197"/>
              <dgm:constr type="r" for="ch" forName="Parent" refType="w" fact="0.8244"/>
              <dgm:constr type="t" for="ch" forName="Parent" refType="h" fact="0.2795"/>
              <dgm:constr type="w" for="ch" forName="Parent" refType="w" fact="0.3406"/>
              <dgm:constr type="h" for="ch" forName="Parent" refType="h" fact="0.4377"/>
              <dgm:constr type="r" for="ch" forName="Image1" refType="w" fact="0.575"/>
              <dgm:constr type="t" for="ch" forName="Image1" refType="h" fact="0"/>
              <dgm:constr type="w" for="ch" forName="Image1" refType="w" fact="0.1825"/>
              <dgm:constr type="h" for="ch" forName="Image1" refType="h" fact="0.2345"/>
              <dgm:constr type="r" for="ch" forName="Image2" refType="w" fact="0.4402"/>
              <dgm:constr type="t" for="ch" forName="Image2" refType="h" fact="0.2184"/>
              <dgm:constr type="w" for="ch" forName="Image2" refType="w" fact="0.1825"/>
              <dgm:constr type="h" for="ch" forName="Image2" refType="h" fact="0.2345"/>
              <dgm:constr type="r" for="ch" forName="Image3" refType="w" fact="0.4409"/>
              <dgm:constr type="t" for="ch" forName="Image3" refType="h" fact="0.5395"/>
              <dgm:constr type="w" for="ch" forName="Image3" refType="w" fact="0.1825"/>
              <dgm:constr type="h" for="ch" forName="Image3" refType="h" fact="0.2345"/>
              <dgm:constr type="r" for="ch" forName="Image4" refType="w" fact="0.575"/>
              <dgm:constr type="t" for="ch" forName="Image4" refType="h" fact="0.7655"/>
              <dgm:constr type="w" for="ch" forName="Image4" refType="w" fact="0.1825"/>
              <dgm:constr type="h" for="ch" forName="Image4" refType="h" fact="0.2345"/>
              <dgm:constr type="r" for="ch" forName="Child1" refType="w" fact="0.3786"/>
              <dgm:constr type="t" for="ch" forName="Child1" refType="h" fact="0.003"/>
              <dgm:constr type="w" for="ch" forName="Child1" refType="w" fact="0.2443"/>
              <dgm:constr type="h" for="ch" forName="Child1" refType="h" fact="0.227"/>
              <dgm:constr type="r" for="ch" forName="Child2" refType="w" fact="0.2443"/>
              <dgm:constr type="t" for="ch" forName="Child2" refType="h" fact="0.2225"/>
              <dgm:constr type="w" for="ch" forName="Child2" refType="w" fact="0.2443"/>
              <dgm:constr type="h" for="ch" forName="Child2" refType="h" fact="0.227"/>
              <dgm:constr type="r" for="ch" forName="Child3" refType="w" fact="0.2443"/>
              <dgm:constr type="t" for="ch" forName="Child3" refType="h" fact="0.5433"/>
              <dgm:constr type="w" for="ch" forName="Child3" refType="w" fact="0.2443"/>
              <dgm:constr type="h" for="ch" forName="Child3" refType="h" fact="0.227"/>
              <dgm:constr type="r" for="ch" forName="Child4" refType="w" fact="0.3786"/>
              <dgm:constr type="t" for="ch" forName="Child4" refType="h" fact="0.7703"/>
              <dgm:constr type="w" for="ch" forName="Child4" refType="w" fact="0.2443"/>
              <dgm:constr type="h" for="ch" forName="Child4" refType="h" fact="0.227"/>
            </dgm:constrLst>
          </dgm:else>
        </dgm:choose>
      </dgm:else>
    </dgm:choose>
    <dgm:forEach name="wrapper" axis="self" ptType="parTrans">
      <dgm:forEach name="ImageRepeat" axis="self">
        <dgm:layoutNode name="Image" styleLbl="fgImgPlace1">
          <dgm:alg type="sp"/>
          <dgm:shape xmlns:r="http://schemas.openxmlformats.org/officeDocument/2006/relationships" type="ellipse" r:blip="" blipPhldr="1">
            <dgm:adjLst/>
          </dgm:shape>
          <dgm:presOf/>
        </dgm:layoutNode>
      </dgm:forEach>
    </dgm:forEach>
    <dgm:forEach name="Name16" axis="ch" ptType="node" cnt="1">
      <dgm:layoutNode name="Parent" styleLbl="node1">
        <dgm:varLst>
          <dgm:chMax val="4"/>
          <dgm:chPref val="3"/>
        </dgm:varLst>
        <dgm:alg type="tx"/>
        <dgm:shape xmlns:r="http://schemas.openxmlformats.org/officeDocument/2006/relationships" type="ellipse"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7" axis="ch ch" ptType="node node" st="1 1" cnt="1 1">
      <dgm:layoutNode name="Accent" styleLbl="node1">
        <dgm:alg type="sp"/>
        <dgm:choose name="Name18">
          <dgm:if name="Name19" func="var" arg="dir" op="equ" val="norm">
            <dgm:choose name="Name20">
              <dgm:if name="Name21" axis="followSib" ptType="node" func="cnt" op="equ" val="0">
                <dgm:shape xmlns:r="http://schemas.openxmlformats.org/officeDocument/2006/relationships" type="blockArc" r:blip="">
                  <dgm:adjLst>
                    <dgm:adj idx="1" val="-49.0368"/>
                    <dgm:adj idx="2" val="49.4265"/>
                    <dgm:adj idx="3" val="0.0564"/>
                  </dgm:adjLst>
                </dgm:shape>
              </dgm:if>
              <dgm:if name="Name22" axis="followSib" ptType="node" func="cnt" op="equ" val="1">
                <dgm:shape xmlns:r="http://schemas.openxmlformats.org/officeDocument/2006/relationships" type="blockArc" r:blip="">
                  <dgm:adjLst>
                    <dgm:adj idx="1" val="-64.2028"/>
                    <dgm:adj idx="2" val="64.5456"/>
                    <dgm:adj idx="3" val="0.0558"/>
                  </dgm:adjLst>
                </dgm:shape>
              </dgm:if>
              <dgm:if name="Name23" axis="followSib" ptType="node" func="cnt" op="equ" val="2">
                <dgm:shape xmlns:r="http://schemas.openxmlformats.org/officeDocument/2006/relationships" type="blockArc" r:blip="">
                  <dgm:adjLst>
                    <dgm:adj idx="1" val="-67.8702"/>
                    <dgm:adj idx="2" val="68.6519"/>
                    <dgm:adj idx="3" val="0.0575"/>
                  </dgm:adjLst>
                </dgm:shape>
              </dgm:if>
              <dgm:else name="Name24">
                <dgm:shape xmlns:r="http://schemas.openxmlformats.org/officeDocument/2006/relationships" type="blockArc" r:blip="">
                  <dgm:adjLst>
                    <dgm:adj idx="1" val="-84.8426"/>
                    <dgm:adj idx="2" val="84.8009"/>
                    <dgm:adj idx="3" val="0.0524"/>
                  </dgm:adjLst>
                </dgm:shape>
              </dgm:else>
            </dgm:choose>
          </dgm:if>
          <dgm:else name="Name25">
            <dgm:choose name="Name26">
              <dgm:if name="Name27" axis="followSib" ptType="node" func="cnt" op="equ" val="0">
                <dgm:shape xmlns:r="http://schemas.openxmlformats.org/officeDocument/2006/relationships" rot="180" type="blockArc" r:blip="">
                  <dgm:adjLst>
                    <dgm:adj idx="1" val="-49.0368"/>
                    <dgm:adj idx="2" val="49.4265"/>
                    <dgm:adj idx="3" val="0.0564"/>
                  </dgm:adjLst>
                </dgm:shape>
              </dgm:if>
              <dgm:if name="Name28" axis="followSib" ptType="node" func="cnt" op="equ" val="1">
                <dgm:shape xmlns:r="http://schemas.openxmlformats.org/officeDocument/2006/relationships" rot="180" type="blockArc" r:blip="">
                  <dgm:adjLst>
                    <dgm:adj idx="1" val="-64.2028"/>
                    <dgm:adj idx="2" val="64.5456"/>
                    <dgm:adj idx="3" val="0.0558"/>
                  </dgm:adjLst>
                </dgm:shape>
              </dgm:if>
              <dgm:if name="Name29" axis="followSib" ptType="node" func="cnt" op="equ" val="2">
                <dgm:shape xmlns:r="http://schemas.openxmlformats.org/officeDocument/2006/relationships" rot="180" type="blockArc" r:blip="">
                  <dgm:adjLst>
                    <dgm:adj idx="1" val="-67.8702"/>
                    <dgm:adj idx="2" val="68.6519"/>
                    <dgm:adj idx="3" val="0.0575"/>
                  </dgm:adjLst>
                </dgm:shape>
              </dgm:if>
              <dgm:else name="Name30">
                <dgm:shape xmlns:r="http://schemas.openxmlformats.org/officeDocument/2006/relationships" rot="180" type="blockArc" r:blip="">
                  <dgm:adjLst>
                    <dgm:adj idx="1" val="-84.8426"/>
                    <dgm:adj idx="2" val="84.8009"/>
                    <dgm:adj idx="3" val="0.0524"/>
                  </dgm:adjLst>
                </dgm:shape>
              </dgm:else>
            </dgm:choose>
          </dgm:else>
        </dgm:choose>
        <dgm:presOf/>
      </dgm:layoutNode>
      <dgm:layoutNode name="Image1" styleLbl="fgImgPlace1">
        <dgm:alg type="sp"/>
        <dgm:shape xmlns:r="http://schemas.openxmlformats.org/officeDocument/2006/relationships" type="ellipse" r:blip="" blipPhldr="1">
          <dgm:adjLst/>
        </dgm:shape>
        <dgm:presOf/>
      </dgm:layoutNode>
      <dgm:layoutNode name="Child1" styleLbl="revTx">
        <dgm:varLst>
          <dgm:chMax val="0"/>
          <dgm:chPref val="0"/>
          <dgm:bulletEnabled val="1"/>
        </dgm:varLst>
        <dgm:choose name="Name31">
          <dgm:if name="Name32" func="var" arg="dir" op="equ" val="norm">
            <dgm:alg type="tx">
              <dgm:param type="parTxLTRAlign" val="l"/>
              <dgm:param type="shpTxLTRAlignCh" val="l"/>
              <dgm:param type="parTxRTLAlign" val="l"/>
              <dgm:param type="shpTxRTLAlignCh" val="l"/>
              <dgm:param type="lnSpAfParP" val="10"/>
            </dgm:alg>
          </dgm:if>
          <dgm:else name="Name33">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4" axis="ch ch" ptType="node node" st="1 2" cnt="1 1">
      <dgm:layoutNode name="Image2">
        <dgm:alg type="sp"/>
        <dgm:shape xmlns:r="http://schemas.openxmlformats.org/officeDocument/2006/relationships" r:blip="">
          <dgm:adjLst/>
        </dgm:shape>
        <dgm:presOf/>
        <dgm:constrLst/>
        <dgm:forEach name="Name35" ref="ImageRepeat"/>
      </dgm:layoutNode>
      <dgm:layoutNode name="Child2" styleLbl="revTx">
        <dgm:varLst>
          <dgm:chMax val="0"/>
          <dgm:chPref val="0"/>
          <dgm:bulletEnabled val="1"/>
        </dgm:varLst>
        <dgm:choose name="Name36">
          <dgm:if name="Name37" func="var" arg="dir" op="equ" val="norm">
            <dgm:alg type="tx">
              <dgm:param type="parTxLTRAlign" val="l"/>
              <dgm:param type="shpTxLTRAlignCh" val="l"/>
              <dgm:param type="parTxRTLAlign" val="l"/>
              <dgm:param type="shpTxRTLAlignCh" val="l"/>
              <dgm:param type="lnSpAfParP" val="10"/>
            </dgm:alg>
          </dgm:if>
          <dgm:else name="Name38">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9" axis="ch ch" ptType="node node" st="1 3" cnt="1 1">
      <dgm:layoutNode name="Image3">
        <dgm:alg type="sp"/>
        <dgm:shape xmlns:r="http://schemas.openxmlformats.org/officeDocument/2006/relationships" r:blip="">
          <dgm:adjLst/>
        </dgm:shape>
        <dgm:presOf/>
        <dgm:constrLst/>
        <dgm:forEach name="Name40" ref="ImageRepeat"/>
      </dgm:layoutNode>
      <dgm:layoutNode name="Child3" styleLbl="revTx">
        <dgm:varLst>
          <dgm:chMax val="0"/>
          <dgm:chPref val="0"/>
          <dgm:bulletEnabled val="1"/>
        </dgm:varLst>
        <dgm:choose name="Name41">
          <dgm:if name="Name42" func="var" arg="dir" op="equ" val="norm">
            <dgm:alg type="tx">
              <dgm:param type="parTxLTRAlign" val="l"/>
              <dgm:param type="shpTxLTRAlignCh" val="l"/>
              <dgm:param type="parTxRTLAlign" val="l"/>
              <dgm:param type="shpTxRTLAlignCh" val="l"/>
              <dgm:param type="lnSpAfParP" val="10"/>
            </dgm:alg>
          </dgm:if>
          <dgm:else name="Name43">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4" axis="ch ch" ptType="node node" st="1 4" cnt="1 1">
      <dgm:layoutNode name="Image4">
        <dgm:alg type="sp"/>
        <dgm:shape xmlns:r="http://schemas.openxmlformats.org/officeDocument/2006/relationships" r:blip="">
          <dgm:adjLst/>
        </dgm:shape>
        <dgm:presOf/>
        <dgm:constrLst/>
        <dgm:forEach name="Name45" ref="ImageRepeat"/>
      </dgm:layoutNode>
      <dgm:layoutNode name="Child4" styleLbl="revTx">
        <dgm:varLst>
          <dgm:chMax val="0"/>
          <dgm:chPref val="0"/>
          <dgm:bulletEnabled val="1"/>
        </dgm:varLst>
        <dgm:choose name="Name46">
          <dgm:if name="Name47" func="var" arg="dir" op="equ" val="norm">
            <dgm:alg type="tx">
              <dgm:param type="parTxLTRAlign" val="l"/>
              <dgm:param type="shpTxLTRAlignCh" val="l"/>
              <dgm:param type="parTxRTLAlign" val="l"/>
              <dgm:param type="shpTxRTLAlignCh" val="l"/>
              <dgm:param type="lnSpAfParP" val="10"/>
            </dgm:alg>
          </dgm:if>
          <dgm:else name="Name48">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0FFF01D54E46129067E2F3FC0E8452"/>
        <w:category>
          <w:name w:val="General"/>
          <w:gallery w:val="placeholder"/>
        </w:category>
        <w:types>
          <w:type w:val="bbPlcHdr"/>
        </w:types>
        <w:behaviors>
          <w:behavior w:val="content"/>
        </w:behaviors>
        <w:guid w:val="{CE63BD59-02C8-4426-A612-00A457D38736}"/>
      </w:docPartPr>
      <w:docPartBody>
        <w:p w:rsidR="00743D6D" w:rsidRDefault="009D0517" w:rsidP="009D0517">
          <w:pPr>
            <w:pStyle w:val="7A0FFF01D54E46129067E2F3FC0E8452"/>
          </w:pPr>
          <w:r>
            <w:rPr>
              <w:caps/>
              <w:color w:val="FFFFFF" w:themeColor="background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charset w:val="B2"/>
    <w:family w:val="roman"/>
    <w:pitch w:val="variable"/>
    <w:sig w:usb0="00002001"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517"/>
    <w:rsid w:val="00743D6D"/>
    <w:rsid w:val="009D0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0FFF01D54E46129067E2F3FC0E8452">
    <w:name w:val="7A0FFF01D54E46129067E2F3FC0E8452"/>
    <w:rsid w:val="009D05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89519-8661-4EF2-89CE-E10B37396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29</Pages>
  <Words>6486</Words>
  <Characters>38143</Characters>
  <Application>Microsoft Office Word</Application>
  <DocSecurity>0</DocSecurity>
  <Lines>794</Lines>
  <Paragraphs>433</Paragraphs>
  <ScaleCrop>false</ScaleCrop>
  <HeadingPairs>
    <vt:vector size="2" baseType="variant">
      <vt:variant>
        <vt:lpstr>Title</vt:lpstr>
      </vt:variant>
      <vt:variant>
        <vt:i4>1</vt:i4>
      </vt:variant>
    </vt:vector>
  </HeadingPairs>
  <TitlesOfParts>
    <vt:vector size="1" baseType="lpstr">
      <vt:lpstr>ONLINE JOURNAL OF ISLAMIC MANAGEMENT AND FINANCE, VOL. 6, NO. 2,</vt:lpstr>
    </vt:vector>
  </TitlesOfParts>
  <Company/>
  <LinksUpToDate>false</LinksUpToDate>
  <CharactersWithSpaces>44196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JOURNAL OF ISLAMIC MANAGEMENT AND FINANCE, VOL. 6, NO. 2, 131-159</dc:title>
  <dc:subject/>
  <dc:creator>ahmedalrumaithah@gmail.com</dc:creator>
  <cp:keywords/>
  <dc:description/>
  <cp:lastModifiedBy>ILHAAMIE BINTI ABDUL GHANI AZMI</cp:lastModifiedBy>
  <cp:revision>11</cp:revision>
  <dcterms:created xsi:type="dcterms:W3CDTF">2026-10-22T05:43:00Z</dcterms:created>
  <dcterms:modified xsi:type="dcterms:W3CDTF">2026-10-23T01:23:00Z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764914d6-45bd-4c33-82db-0da2001ab9fa</vt:lpwstr>
  </property>
</Properties>
</file>